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河南农业大学燃气锅炉</w:t>
      </w:r>
    </w:p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自动在线监控系统（龙子湖校区）招标公告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河南农业大学拟对燃气锅炉安装自动在线监控系统进行安装，现对该项目进行招标，欢迎合格的投标人参与项目招标。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一、项目概况及预算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河南农业大学现有3台燃1.5吨燃气冷凝热水锅炉，3根内径30cm圆形烟囱，按照《郑州市2020年燃气锅炉在线监控系统建设工作实施方案》要求，需安装自动监控设备。项目预算19.95万元。项目编号：</w:t>
      </w:r>
      <w:r>
        <w:rPr>
          <w:rFonts w:ascii="Helvetica" w:hAnsi="Helvetica" w:cs="Helvetica"/>
          <w:color w:val="333333"/>
          <w:sz w:val="23"/>
          <w:szCs w:val="23"/>
          <w:shd w:val="clear" w:color="auto" w:fill="F5F5F5"/>
        </w:rPr>
        <w:t>HNNDZB-2021-004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二、设计内容及要求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1监测系统设备及建设要求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1.1监测因子：氮氧化物、烟气流速、烟气含氧量、烟气速度、压力、烟气湿度。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1.2应取得计量器具型式批准证书和 CCEP 认证。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1.3 </w:t>
      </w:r>
      <w:r>
        <w:rPr>
          <w:rFonts w:asciiTheme="minorEastAsia" w:hAnsiTheme="minorEastAsia" w:eastAsiaTheme="minorEastAsia"/>
          <w:sz w:val="28"/>
          <w:szCs w:val="28"/>
        </w:rPr>
        <w:t>NOx 气态污染物检测方式或原理:应采用非分散红外吸收法、非分散紫外吸收法、紫外差分吸收光谱法、化学荧光法或厚膜双池氧化锆法等。</w:t>
      </w:r>
      <w:r>
        <w:rPr>
          <w:rFonts w:hint="eastAsia" w:asciiTheme="minorEastAsia" w:hAnsiTheme="minorEastAsia" w:eastAsiaTheme="minorEastAsia"/>
          <w:sz w:val="28"/>
          <w:szCs w:val="28"/>
        </w:rPr>
        <w:t>其中</w:t>
      </w:r>
      <w:r>
        <w:rPr>
          <w:rFonts w:asciiTheme="minorEastAsia" w:hAnsiTheme="minorEastAsia" w:eastAsiaTheme="minorEastAsia"/>
          <w:sz w:val="28"/>
          <w:szCs w:val="28"/>
        </w:rPr>
        <w:t>NO</w:t>
      </w:r>
      <w:r>
        <w:rPr>
          <w:rFonts w:ascii="Cambria Math" w:hAnsi="Cambria Math" w:cs="Cambria Math" w:eastAsiaTheme="minorEastAsia"/>
          <w:sz w:val="28"/>
          <w:szCs w:val="28"/>
        </w:rPr>
        <w:t>₂</w:t>
      </w:r>
      <w:r>
        <w:rPr>
          <w:rFonts w:hint="eastAsia" w:asciiTheme="minorEastAsia" w:hAnsiTheme="minorEastAsia" w:eastAsiaTheme="minorEastAsia"/>
          <w:sz w:val="28"/>
          <w:szCs w:val="28"/>
        </w:rPr>
        <w:t>可以直接测量，也可通过转化炉转化为</w:t>
      </w:r>
      <w:r>
        <w:rPr>
          <w:rFonts w:asciiTheme="minorEastAsia" w:hAnsiTheme="minorEastAsia" w:eastAsiaTheme="minorEastAsia"/>
          <w:sz w:val="28"/>
          <w:szCs w:val="28"/>
        </w:rPr>
        <w:t>NO</w:t>
      </w:r>
      <w:r>
        <w:rPr>
          <w:rFonts w:hint="eastAsia" w:asciiTheme="minorEastAsia" w:hAnsiTheme="minorEastAsia" w:eastAsiaTheme="minorEastAsia"/>
          <w:sz w:val="28"/>
          <w:szCs w:val="28"/>
        </w:rPr>
        <w:t>后一并测量，但不允许只监测烟气中的</w:t>
      </w:r>
      <w:r>
        <w:rPr>
          <w:rFonts w:asciiTheme="minorEastAsia" w:hAnsiTheme="minorEastAsia" w:eastAsiaTheme="minorEastAsia"/>
          <w:sz w:val="28"/>
          <w:szCs w:val="28"/>
        </w:rPr>
        <w:t>NO</w:t>
      </w:r>
      <w:r>
        <w:rPr>
          <w:rFonts w:hint="eastAsia" w:asciiTheme="minorEastAsia" w:hAnsiTheme="minorEastAsia" w:eastAsiaTheme="minorEastAsia"/>
          <w:sz w:val="28"/>
          <w:szCs w:val="28"/>
        </w:rPr>
        <w:t>，</w:t>
      </w:r>
      <w:r>
        <w:rPr>
          <w:rFonts w:asciiTheme="minorEastAsia" w:hAnsiTheme="minorEastAsia" w:eastAsiaTheme="minorEastAsia"/>
          <w:sz w:val="28"/>
          <w:szCs w:val="28"/>
        </w:rPr>
        <w:t>NO</w:t>
      </w:r>
      <w:r>
        <w:rPr>
          <w:rFonts w:ascii="Cambria Math" w:hAnsi="Cambria Math" w:cs="Cambria Math" w:eastAsiaTheme="minorEastAsia"/>
          <w:sz w:val="28"/>
          <w:szCs w:val="28"/>
        </w:rPr>
        <w:t>₂</w:t>
      </w:r>
      <w:r>
        <w:rPr>
          <w:rFonts w:hint="eastAsia" w:asciiTheme="minorEastAsia" w:hAnsiTheme="minorEastAsia" w:eastAsiaTheme="minorEastAsia"/>
          <w:sz w:val="28"/>
          <w:szCs w:val="28"/>
        </w:rPr>
        <w:t>转换为</w:t>
      </w:r>
      <w:r>
        <w:rPr>
          <w:rFonts w:asciiTheme="minorEastAsia" w:hAnsiTheme="minorEastAsia" w:eastAsiaTheme="minorEastAsia"/>
          <w:sz w:val="28"/>
          <w:szCs w:val="28"/>
        </w:rPr>
        <w:t>NO</w:t>
      </w:r>
      <w:r>
        <w:rPr>
          <w:rFonts w:hint="eastAsia" w:asciiTheme="minorEastAsia" w:hAnsiTheme="minorEastAsia" w:eastAsiaTheme="minorEastAsia"/>
          <w:sz w:val="28"/>
          <w:szCs w:val="28"/>
        </w:rPr>
        <w:t>的效率应满足HJ 76的要求，不得采取电化学法原理的设备。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1.4氮氧化物量程:应选择低浓度监测设备,量程 0~200mg/m3 以内。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1.5监测点位：应根据《HJ75-2017固定污染源烟气（S</w:t>
      </w:r>
      <w:r>
        <w:rPr>
          <w:rFonts w:asciiTheme="minorEastAsia" w:hAnsiTheme="minorEastAsia" w:eastAsiaTheme="minorEastAsia"/>
          <w:sz w:val="28"/>
          <w:szCs w:val="28"/>
        </w:rPr>
        <w:t>O</w:t>
      </w:r>
      <w:r>
        <w:rPr>
          <w:rFonts w:ascii="Cambria Math" w:hAnsi="Cambria Math" w:cs="Cambria Math" w:eastAsiaTheme="minorEastAsia"/>
          <w:sz w:val="28"/>
          <w:szCs w:val="28"/>
        </w:rPr>
        <w:t>₂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NO</w:t>
      </w:r>
      <w:r>
        <w:rPr>
          <w:rFonts w:ascii="Cambria Math" w:hAnsi="Cambria Math" w:cs="Cambria Math" w:eastAsiaTheme="minorEastAsia"/>
          <w:sz w:val="28"/>
          <w:szCs w:val="28"/>
        </w:rPr>
        <w:t>₂</w:t>
      </w:r>
      <w:r>
        <w:rPr>
          <w:rFonts w:hint="eastAsia" w:asciiTheme="minorEastAsia" w:hAnsiTheme="minorEastAsia" w:eastAsiaTheme="minorEastAsia"/>
          <w:sz w:val="28"/>
          <w:szCs w:val="28"/>
        </w:rPr>
        <w:t>、颗粒物）排放连续监测技术规范》、《DB41/T1327-2016固定污染源颗粒物，烟气（S</w:t>
      </w:r>
      <w:r>
        <w:rPr>
          <w:rFonts w:asciiTheme="minorEastAsia" w:hAnsiTheme="minorEastAsia" w:eastAsiaTheme="minorEastAsia"/>
          <w:sz w:val="28"/>
          <w:szCs w:val="28"/>
        </w:rPr>
        <w:t>O</w:t>
      </w:r>
      <w:r>
        <w:rPr>
          <w:rFonts w:ascii="Cambria Math" w:hAnsi="Cambria Math" w:cs="Cambria Math" w:eastAsiaTheme="minorEastAsia"/>
          <w:sz w:val="28"/>
          <w:szCs w:val="28"/>
        </w:rPr>
        <w:t>₂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  <w:r>
        <w:rPr>
          <w:rFonts w:asciiTheme="minorEastAsia" w:hAnsiTheme="minorEastAsia" w:eastAsiaTheme="minorEastAsia"/>
          <w:sz w:val="28"/>
          <w:szCs w:val="28"/>
        </w:rPr>
        <w:t>NO</w:t>
      </w:r>
      <w:r>
        <w:rPr>
          <w:rFonts w:ascii="Cambria Math" w:hAnsi="Cambria Math" w:cs="Cambria Math" w:eastAsiaTheme="minorEastAsia"/>
          <w:sz w:val="28"/>
          <w:szCs w:val="28"/>
        </w:rPr>
        <w:t>₂</w:t>
      </w:r>
      <w:r>
        <w:rPr>
          <w:rFonts w:hint="eastAsia" w:asciiTheme="minorEastAsia" w:hAnsiTheme="minorEastAsia" w:eastAsiaTheme="minorEastAsia"/>
          <w:sz w:val="28"/>
          <w:szCs w:val="28"/>
        </w:rPr>
        <w:t>）自动监控基站建设技术规范》和《GB/T16157-1996固定污染源排气中颗粒测定与气态污染物采样方法》中的规定选择自动监控设备的安装点位；多合锅炉排放口合并为一个排放口的，可以在汇聚排放口安装1套监控系统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1.6监测平台：根据点位情况，应设置安全牢固的采样平台和折返梯，用于参比测试和设备维护，监测平台宽度不小于1米，面积不小于3平方米，安全护栏高度不低于1.2米。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1.7应在大门口或锅炉房附近设置电子显示屏，显示屏尺寸不小于1.2米宽，1米高，能够实时显示锅炉排放监测数据，显示的数据包括：氮氧化物实测（折算）小时数据，氮氧化物小时排放量、氧量等监测数据。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1.8采用环保专网或物联网方式与市监控平台联网。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负责在线监测设备的安装、调试、比对检测、环保联网，出具相关报告，并组织在线监测系统的环保验收工作。</w:t>
      </w:r>
    </w:p>
    <w:p>
      <w:pPr>
        <w:ind w:firstLine="420" w:firstLineChars="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1.9投标人负责质保期及后期运维期内与市环保局等政府单位联络沟通，保障监控系统正常运行，设备故障或其它异常做好对监管部门的解释和预防工作。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三、投标单位资格要求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、参加投标的设计单位必须在中华人民共和国境内注册登记，具备独立法人资格的事业或企业单位，取得营业执照且营业执照处于有效期内。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2、业绩要求：参加投标的设计单位承担过2019年1月1日以来1个及以上类似机电安装项目，提供合同原件。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3、参加招标采购活动前三年内，在经营活动中没有重大违法记录的书面声明函；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4．供应商需具备环保部门要求的运维资质（ISO9001、项目所在地的运维办事处、运维人员持证上岗、运维车辆、实验室）。</w:t>
      </w:r>
    </w:p>
    <w:p>
      <w:pPr>
        <w:ind w:left="420" w:left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四、报名要求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、报名时间：</w:t>
      </w: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21年1月20日至</w:t>
      </w: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21年1月22日；上午9</w:t>
      </w:r>
      <w:r>
        <w:rPr>
          <w:rFonts w:asciiTheme="minorEastAsia" w:hAnsiTheme="minorEastAsia" w:eastAsiaTheme="minorEastAsia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asciiTheme="minorEastAsia" w:hAnsiTheme="minorEastAsia" w:eastAsiaTheme="minorEastAsia"/>
          <w:sz w:val="28"/>
          <w:szCs w:val="28"/>
        </w:rPr>
        <w:t>0-11: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asciiTheme="minorEastAsia" w:hAnsiTheme="minorEastAsia" w:eastAsiaTheme="minorEastAsia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，下午</w:t>
      </w:r>
      <w:r>
        <w:rPr>
          <w:rFonts w:asciiTheme="minorEastAsia" w:hAnsiTheme="minorEastAsia" w:eastAsiaTheme="minorEastAsia"/>
          <w:sz w:val="28"/>
          <w:szCs w:val="28"/>
        </w:rPr>
        <w:t>3:00-5: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asciiTheme="minorEastAsia" w:hAnsiTheme="minorEastAsia" w:eastAsiaTheme="minorEastAsia"/>
          <w:sz w:val="28"/>
          <w:szCs w:val="28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（节假日除外）。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、开标时间：</w:t>
      </w:r>
      <w:r>
        <w:rPr>
          <w:rFonts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</w:rPr>
        <w:t>21年1月2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日上午9</w:t>
      </w:r>
      <w:r>
        <w:rPr>
          <w:rFonts w:asciiTheme="minorEastAsia" w:hAnsiTheme="minorEastAsia" w:eastAsiaTheme="minorEastAsia"/>
          <w:sz w:val="28"/>
          <w:szCs w:val="28"/>
        </w:rPr>
        <w:t>:</w:t>
      </w:r>
      <w:r>
        <w:rPr>
          <w:rFonts w:hint="eastAsia" w:asciiTheme="minorEastAsia" w:hAnsiTheme="minorEastAsia" w:eastAsiaTheme="minorEastAsia"/>
          <w:sz w:val="28"/>
          <w:szCs w:val="28"/>
        </w:rPr>
        <w:t>0</w:t>
      </w:r>
      <w:r>
        <w:rPr>
          <w:rFonts w:asciiTheme="minorEastAsia" w:hAnsiTheme="minorEastAsia" w:eastAsiaTheme="minorEastAsia"/>
          <w:sz w:val="28"/>
          <w:szCs w:val="28"/>
        </w:rPr>
        <w:t>0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开标地点：待定</w:t>
      </w:r>
    </w:p>
    <w:p>
      <w:pPr>
        <w:ind w:left="420" w:left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、报名地点：河南农业大学龙子湖区牡丹园103室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、报名携带资料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）《报名表》、《业绩统计表》（见附件）。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）法人授权委托书及被授权委托人身份证。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）企业法人营业执照（副本）。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（</w:t>
      </w:r>
      <w:r>
        <w:rPr>
          <w:rFonts w:asciiTheme="minorEastAsia" w:hAnsiTheme="minorEastAsia" w:eastAsiaTheme="minorEastAsia"/>
          <w:sz w:val="28"/>
          <w:szCs w:val="28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）《业绩统计表》中所填写的业绩要求中的原件资料。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以上资料报名时审验原件，留复印件壹套存档（复印件须按顺序装订成册并加盖本单位公章）。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五、发布公告的媒介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　　本次招标公告在河南农业大学校园网上公开发布。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六、联系方式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　　招标人：河南农业大学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　　地址：郑州市郑东新区龙子湖高校园区15号</w:t>
      </w:r>
      <w:r>
        <w:rPr>
          <w:rFonts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/>
          <w:sz w:val="28"/>
          <w:szCs w:val="28"/>
        </w:rPr>
        <w:t>　　联系人： 周老师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电话：</w:t>
      </w:r>
      <w:r>
        <w:rPr>
          <w:rFonts w:asciiTheme="minorEastAsia" w:hAnsiTheme="minorEastAsia" w:eastAsiaTheme="minorEastAsia"/>
          <w:sz w:val="28"/>
          <w:szCs w:val="28"/>
        </w:rPr>
        <w:t>0371-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56552861  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：河南农业大学燃气锅炉自动在线监控系统（龙子湖校区）招标报名表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：河南农业大学燃气锅炉自动在线监控系统（龙子湖校区）投标人同类项目业绩统计表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6020" w:firstLineChars="21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2021年1月20日</w:t>
      </w:r>
    </w:p>
    <w:p/>
    <w:p/>
    <w:p/>
    <w:p/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：河南农业大学燃气锅炉自动在线监控系统（龙子湖校区）招标报名表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　　　　　　　　　　　　　　　　　填表时间：　年　月　日</w:t>
      </w:r>
    </w:p>
    <w:tbl>
      <w:tblPr>
        <w:tblStyle w:val="6"/>
        <w:tblW w:w="841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04"/>
        <w:gridCol w:w="751"/>
        <w:gridCol w:w="1438"/>
        <w:gridCol w:w="1126"/>
        <w:gridCol w:w="1282"/>
        <w:gridCol w:w="646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00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单位全称</w:t>
            </w:r>
          </w:p>
        </w:tc>
        <w:tc>
          <w:tcPr>
            <w:tcW w:w="7119" w:type="dxa"/>
            <w:gridSpan w:val="7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004" w:type="dxa"/>
            <w:gridSpan w:val="2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（营业执照）注册号</w:t>
            </w:r>
          </w:p>
        </w:tc>
        <w:tc>
          <w:tcPr>
            <w:tcW w:w="6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0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办公电话</w:t>
            </w:r>
          </w:p>
        </w:tc>
        <w:tc>
          <w:tcPr>
            <w:tcW w:w="2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E-mail 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00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法定</w:t>
            </w:r>
          </w:p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代表人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性别</w:t>
            </w:r>
          </w:p>
        </w:tc>
        <w:tc>
          <w:tcPr>
            <w:tcW w:w="1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年龄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00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00" w:type="dxa"/>
            <w:tcBorders>
              <w:top w:val="single" w:color="auto" w:sz="4" w:space="0"/>
              <w:left w:val="doub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授权委托人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00" w:type="dxa"/>
            <w:tcBorders>
              <w:top w:val="single" w:color="auto" w:sz="4" w:space="0"/>
              <w:left w:val="double" w:color="auto" w:sz="2" w:space="0"/>
              <w:bottom w:val="doub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7119" w:type="dxa"/>
            <w:gridSpan w:val="7"/>
            <w:tcBorders>
              <w:top w:val="single" w:color="auto" w:sz="4" w:space="0"/>
              <w:left w:val="nil"/>
              <w:bottom w:val="double" w:color="auto" w:sz="2" w:space="0"/>
              <w:right w:val="double" w:color="auto" w:sz="2" w:space="0"/>
              <w:tl2br w:val="nil"/>
              <w:tr2bl w:val="nil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/>
    <w:p>
      <w:r>
        <w:rPr>
          <w:rFonts w:hint="eastAsia"/>
        </w:rPr>
        <w:t>报名填表说明：</w:t>
      </w:r>
      <w:r>
        <w:t>1</w:t>
      </w:r>
      <w:r>
        <w:rPr>
          <w:rFonts w:hint="eastAsia"/>
        </w:rPr>
        <w:t>、公司总部不在郑州，但郑州设有分公司或办事处的，需写明分公司（办事处）的名称、地址和联系电话，详细到“</w:t>
      </w:r>
      <w:r>
        <w:t>**</w:t>
      </w:r>
      <w:r>
        <w:rPr>
          <w:rFonts w:hint="eastAsia"/>
        </w:rPr>
        <w:t>路与</w:t>
      </w:r>
      <w:r>
        <w:t>**</w:t>
      </w:r>
      <w:r>
        <w:rPr>
          <w:rFonts w:hint="eastAsia"/>
        </w:rPr>
        <w:t>路交叉口”。</w:t>
      </w:r>
    </w:p>
    <w:p>
      <w:r>
        <w:t>2</w:t>
      </w:r>
      <w:r>
        <w:rPr>
          <w:rFonts w:hint="eastAsia"/>
        </w:rPr>
        <w:t>、业绩统计表部分，必须提供合同、中标通知书等，验原件、留复印件。</w:t>
      </w:r>
    </w:p>
    <w:p>
      <w:r>
        <w:rPr>
          <w:rFonts w:hint="eastAsia"/>
        </w:rPr>
        <w:br w:type="page"/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、河南农业大学燃气锅炉自动在线监控系统（龙子湖校区）投标人同类项目业绩统计表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填表时间：　　　　　　　　　　　　　　　　　　　填表人：</w:t>
      </w:r>
    </w:p>
    <w:tbl>
      <w:tblPr>
        <w:tblStyle w:val="6"/>
        <w:tblpPr w:leftFromText="180" w:rightFromText="180" w:vertAnchor="page" w:horzAnchor="page" w:tblpX="1726" w:tblpY="3550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84"/>
        <w:gridCol w:w="1534"/>
        <w:gridCol w:w="1347"/>
        <w:gridCol w:w="1007"/>
        <w:gridCol w:w="146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序号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业绩项目名称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项目详细地址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合同额（万元）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项目负责人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项目业主联系人及联系方式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22C0"/>
    <w:rsid w:val="000436A9"/>
    <w:rsid w:val="00060F2B"/>
    <w:rsid w:val="00070FAA"/>
    <w:rsid w:val="000A0509"/>
    <w:rsid w:val="000A6017"/>
    <w:rsid w:val="000B22F1"/>
    <w:rsid w:val="000D3446"/>
    <w:rsid w:val="000E1280"/>
    <w:rsid w:val="00116993"/>
    <w:rsid w:val="001224AE"/>
    <w:rsid w:val="00167D64"/>
    <w:rsid w:val="00172A27"/>
    <w:rsid w:val="00174AB1"/>
    <w:rsid w:val="00183C5E"/>
    <w:rsid w:val="001A4A73"/>
    <w:rsid w:val="00200508"/>
    <w:rsid w:val="00245C8A"/>
    <w:rsid w:val="00245D4F"/>
    <w:rsid w:val="0026168A"/>
    <w:rsid w:val="0029084B"/>
    <w:rsid w:val="00292126"/>
    <w:rsid w:val="002A234F"/>
    <w:rsid w:val="002C47AB"/>
    <w:rsid w:val="002E1B2E"/>
    <w:rsid w:val="00301E57"/>
    <w:rsid w:val="00336906"/>
    <w:rsid w:val="00354A96"/>
    <w:rsid w:val="003645BD"/>
    <w:rsid w:val="00381150"/>
    <w:rsid w:val="003825AF"/>
    <w:rsid w:val="00383EDE"/>
    <w:rsid w:val="00384CD6"/>
    <w:rsid w:val="003904A2"/>
    <w:rsid w:val="003B00EB"/>
    <w:rsid w:val="003B2DF5"/>
    <w:rsid w:val="003C3ED1"/>
    <w:rsid w:val="003C56D7"/>
    <w:rsid w:val="004149BC"/>
    <w:rsid w:val="004311DA"/>
    <w:rsid w:val="00456489"/>
    <w:rsid w:val="00490CA0"/>
    <w:rsid w:val="004B353E"/>
    <w:rsid w:val="004D26DC"/>
    <w:rsid w:val="004D6AE0"/>
    <w:rsid w:val="004D6F9E"/>
    <w:rsid w:val="004E027E"/>
    <w:rsid w:val="004F0D4E"/>
    <w:rsid w:val="00501FA4"/>
    <w:rsid w:val="00502129"/>
    <w:rsid w:val="00524262"/>
    <w:rsid w:val="005315CE"/>
    <w:rsid w:val="00557C27"/>
    <w:rsid w:val="00564DA6"/>
    <w:rsid w:val="00572FA5"/>
    <w:rsid w:val="005739CF"/>
    <w:rsid w:val="00584E76"/>
    <w:rsid w:val="00595770"/>
    <w:rsid w:val="005B21D0"/>
    <w:rsid w:val="005B2DA7"/>
    <w:rsid w:val="005F3AFE"/>
    <w:rsid w:val="006051B9"/>
    <w:rsid w:val="00633B78"/>
    <w:rsid w:val="00650315"/>
    <w:rsid w:val="006A0ECF"/>
    <w:rsid w:val="006A4075"/>
    <w:rsid w:val="006C61C1"/>
    <w:rsid w:val="006D0A2E"/>
    <w:rsid w:val="006E1A5E"/>
    <w:rsid w:val="006E3483"/>
    <w:rsid w:val="00745B48"/>
    <w:rsid w:val="00757CAF"/>
    <w:rsid w:val="007804D5"/>
    <w:rsid w:val="0079627F"/>
    <w:rsid w:val="007A48AC"/>
    <w:rsid w:val="007B3867"/>
    <w:rsid w:val="007B46B8"/>
    <w:rsid w:val="007B7F11"/>
    <w:rsid w:val="007C14D1"/>
    <w:rsid w:val="007E5C73"/>
    <w:rsid w:val="007E61BA"/>
    <w:rsid w:val="007F09E7"/>
    <w:rsid w:val="007F4E94"/>
    <w:rsid w:val="00801D0E"/>
    <w:rsid w:val="00847054"/>
    <w:rsid w:val="00854327"/>
    <w:rsid w:val="008934AC"/>
    <w:rsid w:val="008940B6"/>
    <w:rsid w:val="008D0404"/>
    <w:rsid w:val="008D223E"/>
    <w:rsid w:val="008F324B"/>
    <w:rsid w:val="00911319"/>
    <w:rsid w:val="00934477"/>
    <w:rsid w:val="0093747F"/>
    <w:rsid w:val="009426B0"/>
    <w:rsid w:val="0097330E"/>
    <w:rsid w:val="009A3D2F"/>
    <w:rsid w:val="009A60D2"/>
    <w:rsid w:val="00A05D00"/>
    <w:rsid w:val="00A1762D"/>
    <w:rsid w:val="00A47938"/>
    <w:rsid w:val="00A61ED1"/>
    <w:rsid w:val="00A64189"/>
    <w:rsid w:val="00A679AD"/>
    <w:rsid w:val="00A70A05"/>
    <w:rsid w:val="00A83461"/>
    <w:rsid w:val="00A94CB1"/>
    <w:rsid w:val="00AD0E8E"/>
    <w:rsid w:val="00AD7E5D"/>
    <w:rsid w:val="00AE7093"/>
    <w:rsid w:val="00B237CD"/>
    <w:rsid w:val="00B52378"/>
    <w:rsid w:val="00B5601A"/>
    <w:rsid w:val="00B706CC"/>
    <w:rsid w:val="00BC3929"/>
    <w:rsid w:val="00BE0563"/>
    <w:rsid w:val="00BF3F2A"/>
    <w:rsid w:val="00C02C6E"/>
    <w:rsid w:val="00C21AD3"/>
    <w:rsid w:val="00C23520"/>
    <w:rsid w:val="00C259A3"/>
    <w:rsid w:val="00C3723B"/>
    <w:rsid w:val="00C60013"/>
    <w:rsid w:val="00CA3F12"/>
    <w:rsid w:val="00CB4FD0"/>
    <w:rsid w:val="00CD24A4"/>
    <w:rsid w:val="00D05525"/>
    <w:rsid w:val="00D06643"/>
    <w:rsid w:val="00D15933"/>
    <w:rsid w:val="00D17F26"/>
    <w:rsid w:val="00D34572"/>
    <w:rsid w:val="00D57677"/>
    <w:rsid w:val="00D640F4"/>
    <w:rsid w:val="00D66AC2"/>
    <w:rsid w:val="00D704FD"/>
    <w:rsid w:val="00D8493C"/>
    <w:rsid w:val="00DC200E"/>
    <w:rsid w:val="00DD42A1"/>
    <w:rsid w:val="00DE73B6"/>
    <w:rsid w:val="00E0203C"/>
    <w:rsid w:val="00E06F40"/>
    <w:rsid w:val="00E1117F"/>
    <w:rsid w:val="00E14A7E"/>
    <w:rsid w:val="00E26842"/>
    <w:rsid w:val="00E313F8"/>
    <w:rsid w:val="00E42DBD"/>
    <w:rsid w:val="00E43E4E"/>
    <w:rsid w:val="00E6444A"/>
    <w:rsid w:val="00E87718"/>
    <w:rsid w:val="00E92A8B"/>
    <w:rsid w:val="00E949B8"/>
    <w:rsid w:val="00ED6CDF"/>
    <w:rsid w:val="00EE3856"/>
    <w:rsid w:val="00F04945"/>
    <w:rsid w:val="00F1665E"/>
    <w:rsid w:val="00F17EDD"/>
    <w:rsid w:val="00F34810"/>
    <w:rsid w:val="00F513A1"/>
    <w:rsid w:val="00F55ED5"/>
    <w:rsid w:val="00F708DA"/>
    <w:rsid w:val="00F7116E"/>
    <w:rsid w:val="00F71812"/>
    <w:rsid w:val="00F72972"/>
    <w:rsid w:val="00F812E1"/>
    <w:rsid w:val="00FB1C22"/>
    <w:rsid w:val="00FD072F"/>
    <w:rsid w:val="00FD2F63"/>
    <w:rsid w:val="00FE70CB"/>
    <w:rsid w:val="00FF42BF"/>
    <w:rsid w:val="065519E5"/>
    <w:rsid w:val="174F4FB0"/>
    <w:rsid w:val="1F361A46"/>
    <w:rsid w:val="250A6369"/>
    <w:rsid w:val="307F0F45"/>
    <w:rsid w:val="35D62F0D"/>
    <w:rsid w:val="3DD73E09"/>
    <w:rsid w:val="480C2610"/>
    <w:rsid w:val="488C20B2"/>
    <w:rsid w:val="494B6AC1"/>
    <w:rsid w:val="4E022320"/>
    <w:rsid w:val="4ED07408"/>
    <w:rsid w:val="5F9D10A6"/>
    <w:rsid w:val="64CD200B"/>
    <w:rsid w:val="694F7EDA"/>
    <w:rsid w:val="79451263"/>
    <w:rsid w:val="7CF007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paragraph" w:styleId="11">
    <w:name w:val="List Paragraph"/>
    <w:qFormat/>
    <w:uiPriority w:val="1"/>
    <w:pPr>
      <w:widowControl w:val="0"/>
      <w:autoSpaceDE w:val="0"/>
      <w:autoSpaceDN w:val="0"/>
      <w:spacing w:before="186"/>
      <w:ind w:left="561" w:hanging="282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customStyle="1" w:styleId="12">
    <w:name w:val="列出段落1"/>
    <w:basedOn w:val="1"/>
    <w:qFormat/>
    <w:uiPriority w:val="1"/>
    <w:pPr>
      <w:autoSpaceDE w:val="0"/>
      <w:autoSpaceDN w:val="0"/>
      <w:spacing w:before="186"/>
      <w:ind w:left="561" w:hanging="282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9F4F7F-489E-4D63-89E8-3AA8E2C9B3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319</Words>
  <Characters>1823</Characters>
  <Lines>15</Lines>
  <Paragraphs>4</Paragraphs>
  <TotalTime>77</TotalTime>
  <ScaleCrop>false</ScaleCrop>
  <LinksUpToDate>false</LinksUpToDate>
  <CharactersWithSpaces>2138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2018-11-07T08:10:00Z</dcterms:created>
  <dc:creator>Administrator</dc:creator>
  <lastModifiedBy>HP</lastModifiedBy>
  <lastPrinted>2018-11-07T08:10:00Z</lastPrinted>
  <dcterms:modified xsi:type="dcterms:W3CDTF">2021-01-20T02:47:23Z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