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N/>
        <w:bidi w:val="0"/>
        <w:spacing w:before="0" w:beforeLines="0" w:after="0" w:afterLines="0" w:line="360" w:lineRule="auto"/>
        <w:ind w:left="16" w:right="16"/>
        <w:jc w:val="center"/>
        <w:textAlignment w:val="auto"/>
        <w:rPr>
          <w:rFonts w:hint="eastAsia" w:ascii="宋体" w:hAnsi="宋体" w:eastAsia="宋体" w:cs="宋体"/>
          <w:color w:val="auto"/>
          <w:sz w:val="36"/>
          <w:szCs w:val="36"/>
          <w:highlight w:val="none"/>
          <w:lang w:eastAsia="zh-CN"/>
        </w:rPr>
      </w:pPr>
      <w:bookmarkStart w:id="0" w:name="_Toc25995"/>
      <w:bookmarkStart w:id="1" w:name="_Toc5981"/>
      <w:bookmarkStart w:id="2" w:name="_Toc15932"/>
      <w:bookmarkStart w:id="3" w:name="_Toc18093"/>
      <w:bookmarkStart w:id="4" w:name="_Toc28420"/>
      <w:bookmarkStart w:id="5" w:name="_Toc45"/>
      <w:bookmarkStart w:id="6" w:name="_Toc13056"/>
      <w:bookmarkStart w:id="7" w:name="_Toc11328"/>
      <w:bookmarkStart w:id="8" w:name="_Toc27652"/>
      <w:bookmarkStart w:id="9" w:name="_Toc8218"/>
      <w:bookmarkStart w:id="10" w:name="_Toc23562"/>
      <w:bookmarkStart w:id="11" w:name="_Toc20208"/>
      <w:bookmarkStart w:id="12" w:name="_Toc29784"/>
      <w:bookmarkStart w:id="13" w:name="_Toc1386"/>
      <w:bookmarkStart w:id="14" w:name="_Toc8994"/>
      <w:r>
        <w:rPr>
          <w:rFonts w:hint="eastAsia" w:ascii="宋体" w:hAnsi="宋体" w:eastAsia="宋体" w:cs="宋体"/>
          <w:color w:val="auto"/>
          <w:sz w:val="36"/>
          <w:szCs w:val="36"/>
          <w:highlight w:val="none"/>
          <w:lang w:eastAsia="zh-CN"/>
        </w:rPr>
        <w:t>河南农业大学龙子湖校区北大门单体及周边景观设计</w:t>
      </w:r>
    </w:p>
    <w:p>
      <w:pPr>
        <w:pStyle w:val="2"/>
        <w:keepNext w:val="0"/>
        <w:keepLines w:val="0"/>
        <w:pageBreakBefore w:val="0"/>
        <w:widowControl/>
        <w:kinsoku/>
        <w:wordWrap/>
        <w:overflowPunct/>
        <w:topLinePunct w:val="0"/>
        <w:autoSpaceDN/>
        <w:bidi w:val="0"/>
        <w:spacing w:before="0" w:beforeLines="0" w:after="0" w:afterLines="0" w:line="360" w:lineRule="auto"/>
        <w:ind w:left="16" w:right="16"/>
        <w:jc w:val="center"/>
        <w:textAlignment w:val="auto"/>
        <w:rPr>
          <w:rFonts w:hint="eastAsia" w:ascii="宋体" w:hAnsi="宋体" w:eastAsia="宋体" w:cs="宋体"/>
          <w:color w:val="auto"/>
          <w:sz w:val="36"/>
          <w:szCs w:val="36"/>
          <w:highlight w:val="none"/>
          <w:shd w:val="clear" w:color="auto" w:fill="F9FCFE"/>
        </w:rPr>
      </w:pPr>
      <w:r>
        <w:rPr>
          <w:rFonts w:hint="eastAsia" w:ascii="宋体" w:hAnsi="宋体" w:eastAsia="宋体" w:cs="宋体"/>
          <w:color w:val="auto"/>
          <w:sz w:val="36"/>
          <w:szCs w:val="36"/>
          <w:highlight w:val="none"/>
          <w:shd w:val="clear" w:color="auto" w:fill="F9FCFE"/>
        </w:rPr>
        <w:t>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
        </w:rPr>
        <w:t>1.招标条件</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本招标项目已由河南省发展和改革委员会以《关于河南农业大学新校区建设工程项目建议书的批复》（豫发改设计〔2009〕1045号）批准建设，项目建设资金为自筹，出资比例为100%，</w:t>
      </w:r>
      <w:r>
        <w:rPr>
          <w:rFonts w:hint="eastAsia" w:ascii="宋体" w:hAnsi="宋体" w:eastAsia="宋体" w:cs="宋体"/>
          <w:color w:val="auto"/>
          <w:sz w:val="24"/>
          <w:szCs w:val="24"/>
          <w:highlight w:val="none"/>
          <w:lang w:eastAsia="zh-CN"/>
        </w:rPr>
        <w:t>河南农业大学龙子湖校区北大门单体及周边景观设计</w:t>
      </w:r>
      <w:r>
        <w:rPr>
          <w:rFonts w:hint="eastAsia" w:ascii="宋体" w:hAnsi="宋体" w:eastAsia="宋体" w:cs="宋体"/>
          <w:color w:val="auto"/>
          <w:sz w:val="24"/>
          <w:szCs w:val="24"/>
          <w:highlight w:val="none"/>
        </w:rPr>
        <w:t>项目已具备招标条件，招标人为河南农业大学。现本着公开、公平、公正、科学择优的原则，委托河南方大建设工程管理股份有限公司代理本项目公开招标事宜，欢迎有兴趣的潜在投标人前来投标。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jc w:val="left"/>
        <w:textAlignment w:val="auto"/>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2.项目概况与招标范围</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2.1项目名称：河南农业大学龙子湖校区北大门单体及周边景观设计</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2.2项目编号:FDZB-2016-319</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2.3招标范围：河南农业大学龙子湖校区北大门单体及周边景观设计，本次招标内容为该项目的施工设计、技术方案和施工方案、图纸等。</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2.4项目地址：河南农业大学龙子湖校区。</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2.5质量要求：</w:t>
      </w:r>
      <w:r>
        <w:rPr>
          <w:rFonts w:hint="eastAsia" w:ascii="宋体" w:hAnsi="宋体" w:eastAsia="宋体" w:cs="宋体"/>
          <w:color w:val="auto"/>
          <w:sz w:val="24"/>
          <w:szCs w:val="24"/>
          <w:highlight w:val="none"/>
        </w:rPr>
        <w:t>符合现行设计规范、规程、规定、标准要求</w:t>
      </w:r>
      <w:r>
        <w:rPr>
          <w:rFonts w:hint="eastAsia" w:ascii="宋体" w:hAnsi="宋体" w:eastAsia="宋体" w:cs="宋体"/>
          <w:color w:val="auto"/>
          <w:sz w:val="24"/>
          <w:szCs w:val="24"/>
          <w:highlight w:val="none"/>
          <w:lang w:val="en-US" w:eastAsia="zh-CN"/>
        </w:rPr>
        <w:t>。</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2.6设计周期：</w:t>
      </w:r>
      <w:r>
        <w:rPr>
          <w:rFonts w:hint="eastAsia" w:ascii="宋体" w:hAnsi="宋体" w:eastAsia="宋体" w:cs="宋体"/>
          <w:color w:val="auto"/>
          <w:kern w:val="0"/>
          <w:sz w:val="24"/>
          <w:szCs w:val="24"/>
          <w:highlight w:val="none"/>
          <w:u w:val="single"/>
          <w:lang w:val="en-US" w:eastAsia="zh-CN" w:bidi="ar"/>
        </w:rPr>
        <w:t>30</w:t>
      </w:r>
      <w:r>
        <w:rPr>
          <w:rFonts w:hint="eastAsia" w:ascii="宋体" w:hAnsi="宋体" w:eastAsia="宋体" w:cs="宋体"/>
          <w:color w:val="auto"/>
          <w:kern w:val="0"/>
          <w:sz w:val="24"/>
          <w:szCs w:val="24"/>
          <w:highlight w:val="none"/>
          <w:u w:val="none"/>
          <w:lang w:val="en-US" w:eastAsia="zh-CN" w:bidi="ar"/>
        </w:rPr>
        <w:t>日历天</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jc w:val="left"/>
        <w:textAlignment w:val="auto"/>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3.投标人资格要求</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3.1投标人须具有独立法人资格和有效的营业执照。</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3.2投标人须具有建筑行业设计甲级资质资质，同时要求投标人必须具备完成招标内容的相关专业人员、设备、以及专业能力；</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3.3项目负责人资格：须具有高级工程师及以上职称，与本单位签订劳动合同，并缴纳社会保险。</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财务要求：投标人近三年内（2013年度-2015年度）财务状况良好，财务审计报告未出现连续三年亏损，审计报告无否定意见或无法表示意见；若投标人为新成立公司，经营时间未够三年，应提供注册期后至2015年年度财务审计报告，新成立公司无审计报告附财务报表说明。</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3.5业绩要求：投标人及项目负责人具有2013年1月1日以来类似项目业绩（以合同签订时间为准）。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firstLine="437"/>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（1）针对单位、法定代表人、项目负责人向人民检察院进行行贿犯罪档案查询并提交查询结果，对经查询有行贿犯罪记录的单位取消投标资格（以公告发布时间之后开具的为准）；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firstLine="437"/>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（2）本次招标不接受联合体投标。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jc w:val="left"/>
        <w:textAlignment w:val="auto"/>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4. 投标报名及招标文件的获取</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4.1投标单位报名须知：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4.1.1凡有意参加本项目的投标单位，请于2017年01月09日～2017年01月13日,</w:t>
      </w:r>
      <w:r>
        <w:rPr>
          <w:rFonts w:hint="eastAsia" w:ascii="宋体" w:hAnsi="宋体" w:eastAsia="宋体" w:cs="宋体"/>
          <w:color w:val="auto"/>
          <w:sz w:val="24"/>
          <w:szCs w:val="24"/>
          <w:highlight w:val="none"/>
          <w:lang w:val="en-US" w:eastAsia="zh-CN"/>
        </w:rPr>
        <w:t>每日上午 8:30 时至12:00 时，下午 14:00 时至 17:30 时</w:t>
      </w:r>
      <w:r>
        <w:rPr>
          <w:rFonts w:hint="eastAsia" w:ascii="宋体" w:hAnsi="宋体" w:eastAsia="宋体" w:cs="宋体"/>
          <w:color w:val="auto"/>
          <w:kern w:val="2"/>
          <w:sz w:val="24"/>
          <w:szCs w:val="24"/>
          <w:highlight w:val="none"/>
          <w:lang w:val="en-US" w:eastAsia="zh-CN" w:bidi="ar-SA"/>
        </w:rPr>
        <w:t>登录“河南省公共资源交易中心（http://www.hnggzy.com）”，凭企业身份认证锁（CA密钥）进行网上报名。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4.1.2投标人须在报名期间注册成为河南省公共资源交易中心网站会员并取得CA密钥，（详见http://www.hnggzy.com公共服务-办事指南）。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4.1.3如果通过上述报名的投标人多于9家（不含9家）时，进行资格预审；如果通过上述报名的投标人少于9家（含9家）时，进行资格后审。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4.2招标文件的获取：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4.2.1招标文件发售时间：另行通知；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4.2.2 招标文件发售方式：凭CA密钥登陆会员专区并在规定时间内按网上提示下载招标文件及资料。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jc w:val="left"/>
        <w:textAlignment w:val="auto"/>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 xml:space="preserve">5. 投标文件的递交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5.1投标文件递交的截止时间：详见招标文件。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5.2投标文件递交地点：详见招标文件。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5.3逾期送达的或者未送达指定地点的或者不按照招标文件要求密封的投标文件，招标人不予受理。</w:t>
      </w:r>
      <w:r>
        <w:rPr>
          <w:rFonts w:hint="eastAsia" w:ascii="宋体" w:hAnsi="宋体" w:eastAsia="宋体" w:cs="宋体"/>
          <w:color w:val="auto"/>
          <w:kern w:val="2"/>
          <w:sz w:val="24"/>
          <w:szCs w:val="24"/>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jc w:val="left"/>
        <w:textAlignment w:val="auto"/>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6.发布公告的媒介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本次招标公告同时在《中国采购与招标网》、《河南招标采购综合网》、《河南省公共资源交易中心》、《河南农业大学校网》发布。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Autospacing="0" w:afterAutospacing="0" w:line="360" w:lineRule="auto"/>
        <w:ind w:left="0" w:right="0"/>
        <w:jc w:val="left"/>
        <w:textAlignment w:val="auto"/>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7.联系方式</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 标 人：河南农业大学</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办公地址：郑州市农业路63号</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 系 人：魏老师 </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话：0371-63558857</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招标代理机构：河南方大建设工程管理股份有限公司</w:t>
      </w:r>
      <w:bookmarkStart w:id="15" w:name="_GoBack"/>
      <w:bookmarkEnd w:id="15"/>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办公地址：郑州市郑东新区康宁路南、和谐路东德威广场12层</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 系 人：张女士</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电话:0371-86120322</w:t>
      </w: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autoSpaceDN/>
        <w:bidi w:val="0"/>
        <w:spacing w:line="360" w:lineRule="auto"/>
        <w:textAlignment w:val="auto"/>
        <w:rPr>
          <w:rFonts w:hint="eastAsia" w:ascii="宋体" w:hAnsi="宋体" w:eastAsia="宋体" w:cs="宋体"/>
          <w:color w:val="auto"/>
          <w:sz w:val="24"/>
          <w:szCs w:val="24"/>
          <w:highlight w:val="none"/>
        </w:rPr>
      </w:pPr>
    </w:p>
    <w:sectPr>
      <w:head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31911"/>
    <w:rsid w:val="03AE2D92"/>
    <w:rsid w:val="03D43194"/>
    <w:rsid w:val="0D760804"/>
    <w:rsid w:val="17C31911"/>
    <w:rsid w:val="24657A47"/>
    <w:rsid w:val="289A19D1"/>
    <w:rsid w:val="3654161A"/>
    <w:rsid w:val="3C172E91"/>
    <w:rsid w:val="52815AD5"/>
    <w:rsid w:val="54262B59"/>
    <w:rsid w:val="57E33B3B"/>
    <w:rsid w:val="596803AB"/>
    <w:rsid w:val="5A7F7ED2"/>
    <w:rsid w:val="5BF9362A"/>
    <w:rsid w:val="612264DF"/>
    <w:rsid w:val="63B11C29"/>
    <w:rsid w:val="6D0E4CFF"/>
    <w:rsid w:val="737B27C1"/>
    <w:rsid w:val="78244D66"/>
    <w:rsid w:val="78D851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Strong"/>
    <w:basedOn w:val="5"/>
    <w:qFormat/>
    <w:uiPriority w:val="0"/>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333333"/>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ascii="monospace" w:hAnsi="monospace" w:eastAsia="monospace" w:cs="monospace"/>
    </w:rPr>
  </w:style>
  <w:style w:type="paragraph" w:customStyle="1" w:styleId="19">
    <w:name w:val="_Style 3"/>
    <w:basedOn w:val="1"/>
    <w:qFormat/>
    <w:uiPriority w:val="0"/>
    <w:pPr>
      <w:ind w:left="720"/>
      <w:contextualSpacing/>
    </w:pPr>
  </w:style>
  <w:style w:type="paragraph" w:customStyle="1" w:styleId="20">
    <w:name w:val="_Style 1"/>
    <w:basedOn w:val="1"/>
    <w:qFormat/>
    <w:uiPriority w:val="0"/>
    <w:pPr>
      <w:ind w:left="720"/>
      <w:contextualSpacing/>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2016-12-20T09:07:00Z</dcterms:created>
  <dc:creator>NTKO</dc:creator>
  <lastModifiedBy>Administrator</lastModifiedBy>
  <lastPrinted>2016-12-20T09:07:00Z</lastPrinted>
  <dcterms:modified xsi:type="dcterms:W3CDTF">2017-01-09T02:33:32Z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