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留学院校课程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>英国皇家农业大学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cs="仿宋"/>
          <w:b w:val="0"/>
          <w:bCs w:val="0"/>
          <w:sz w:val="32"/>
          <w:szCs w:val="32"/>
          <w:lang w:val="en-US" w:eastAsia="zh-CN"/>
        </w:rPr>
        <w:instrText xml:space="preserve"> HYPERLINK "https://www.rau.ac.uk/study/undergraduate/courses/bsc-hons-agriculture" </w:instrText>
      </w:r>
      <w:r>
        <w:rPr>
          <w:rFonts w:hint="default" w:ascii="仿宋" w:hAnsi="仿宋" w:cs="仿宋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" w:hAnsi="仿宋" w:cs="仿宋"/>
          <w:b w:val="0"/>
          <w:bCs w:val="0"/>
          <w:sz w:val="32"/>
          <w:szCs w:val="32"/>
          <w:lang w:val="en-US" w:eastAsia="zh-CN"/>
        </w:rPr>
        <w:t>https://www.rau.ac.uk/study/undergraduate/courses/bsc-hons-agriculture</w:t>
      </w:r>
      <w:r>
        <w:rPr>
          <w:rFonts w:hint="default" w:ascii="仿宋" w:hAnsi="仿宋" w:cs="仿宋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147320</wp:posOffset>
            </wp:positionV>
            <wp:extent cx="5609590" cy="5182235"/>
            <wp:effectExtent l="12700" t="12700" r="16510" b="2476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518223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点击“</w:t>
      </w:r>
      <w:r>
        <w:rPr>
          <w:rFonts w:hint="eastAsia"/>
          <w:lang w:val="en-US" w:eastAsia="zh-CN"/>
        </w:rPr>
        <w:t>Teaching</w:t>
      </w:r>
      <w:r>
        <w:rPr>
          <w:rFonts w:hint="eastAsia"/>
          <w:lang w:eastAsia="zh-CN"/>
        </w:rPr>
        <w:t>”可查阅该校农学专业各年级开设的课程，点击课程名称可查阅课程详细介绍。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</wp:posOffset>
            </wp:positionH>
            <wp:positionV relativeFrom="page">
              <wp:posOffset>1096645</wp:posOffset>
            </wp:positionV>
            <wp:extent cx="5612765" cy="4833620"/>
            <wp:effectExtent l="12700" t="12700" r="13335" b="3048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483362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" w:hAnsi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>波兰波兹南生命科学大学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cs="仿宋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cs="仿宋"/>
          <w:b w:val="0"/>
          <w:bCs w:val="0"/>
          <w:sz w:val="32"/>
          <w:szCs w:val="32"/>
          <w:lang w:val="en-US" w:eastAsia="zh-CN"/>
        </w:rPr>
        <w:instrText xml:space="preserve"> HYPERLINK "http://erasmusplus.up.poznan.pl/en/news" </w:instrText>
      </w:r>
      <w:r>
        <w:rPr>
          <w:rFonts w:hint="default" w:ascii="仿宋" w:hAnsi="仿宋" w:cs="仿宋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仿宋" w:hAnsi="仿宋" w:cs="仿宋"/>
          <w:b w:val="0"/>
          <w:bCs w:val="0"/>
          <w:sz w:val="32"/>
          <w:szCs w:val="32"/>
          <w:lang w:val="en-US" w:eastAsia="zh-CN"/>
        </w:rPr>
        <w:t>http://erasmusplus.up.poznan.pl/en/news</w:t>
      </w:r>
      <w:r>
        <w:rPr>
          <w:rFonts w:hint="default" w:ascii="仿宋" w:hAnsi="仿宋" w:cs="仿宋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参考该校最近两个学期针对交换生的英文授课课程单元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4497070</wp:posOffset>
            </wp:positionV>
            <wp:extent cx="5615940" cy="3981450"/>
            <wp:effectExtent l="12700" t="12700" r="29210" b="2540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9814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31115</wp:posOffset>
            </wp:positionV>
            <wp:extent cx="5608955" cy="3884930"/>
            <wp:effectExtent l="12700" t="12700" r="17145" b="2667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388493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点击每个单元名称可查阅详细课程清单</w:t>
      </w:r>
      <w:bookmarkStart w:id="0" w:name="_GoBack"/>
      <w:bookmarkEnd w:id="0"/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>西班牙纳瓦拉公立大学</w:t>
      </w:r>
    </w:p>
    <w:p>
      <w:pPr>
        <w:numPr>
          <w:ilvl w:val="0"/>
          <w:numId w:val="0"/>
        </w:numPr>
        <w:ind w:leftChars="0"/>
        <w:rPr>
          <w:rFonts w:hint="eastAsia" w:eastAsia="仿宋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" w:asciiTheme="minorAscii" w:hAnsiTheme="minorAscii" w:cstheme="minorBidi"/>
          <w:kern w:val="2"/>
          <w:sz w:val="32"/>
          <w:szCs w:val="24"/>
          <w:lang w:val="en-US" w:eastAsia="zh-CN" w:bidi="ar-SA"/>
        </w:rPr>
        <w:t>从该校经济与商业科学系英语授课的课程列表中选择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cs="仿宋"/>
          <w:b/>
          <w:bCs/>
          <w:sz w:val="32"/>
          <w:szCs w:val="32"/>
          <w:lang w:val="en-US" w:eastAsia="zh-CN"/>
        </w:rPr>
      </w:pPr>
      <w:r>
        <w:rPr>
          <w:rFonts w:hint="eastAsia" w:eastAsia="仿宋" w:asciiTheme="minorAscii" w:hAnsiTheme="minorAscii" w:cstheme="minorBidi"/>
          <w:kern w:val="2"/>
          <w:sz w:val="32"/>
          <w:szCs w:val="24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161925</wp:posOffset>
            </wp:positionV>
            <wp:extent cx="5595620" cy="4031615"/>
            <wp:effectExtent l="12700" t="12700" r="30480" b="1333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5620" cy="403161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D6CF6D"/>
    <w:multiLevelType w:val="singleLevel"/>
    <w:tmpl w:val="D3D6CF6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7622D"/>
    <w:rsid w:val="167010A7"/>
    <w:rsid w:val="2A9E4687"/>
    <w:rsid w:val="350F4A5B"/>
    <w:rsid w:val="3C4C7F92"/>
    <w:rsid w:val="3D975167"/>
    <w:rsid w:val="420A799F"/>
    <w:rsid w:val="526F2022"/>
    <w:rsid w:val="59E2762E"/>
    <w:rsid w:val="736E6DBA"/>
    <w:rsid w:val="7D3665E3"/>
    <w:rsid w:val="7D5D29D2"/>
    <w:rsid w:val="7E1A61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1"/>
      <w:szCs w:val="2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paragraph" w:customStyle="1" w:styleId="9">
    <w:name w:val="请示标题"/>
    <w:basedOn w:val="1"/>
    <w:qFormat/>
    <w:uiPriority w:val="0"/>
    <w:pPr>
      <w:jc w:val="center"/>
    </w:pPr>
    <w:rPr>
      <w:rFonts w:eastAsia="宋体" w:asciiTheme="minorAscii" w:hAnsiTheme="minorAscii"/>
      <w:b/>
      <w:sz w:val="44"/>
    </w:rPr>
  </w:style>
  <w:style w:type="paragraph" w:customStyle="1" w:styleId="10">
    <w:name w:val="请示正文"/>
    <w:basedOn w:val="1"/>
    <w:qFormat/>
    <w:uiPriority w:val="0"/>
    <w:rPr>
      <w:rFonts w:eastAsia="仿宋" w:asciiTheme="minorAscii" w:hAnsiTheme="minorAscii"/>
      <w:sz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numbering" Target="numbering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image" Target="media/image5.png"/>
  <Relationship Id="rId9" Type="http://schemas.openxmlformats.org/officeDocument/2006/relationships/customXml" Target="../customXml/item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Administrator.WIN7U-20160602H</dc:creator>
  <lastModifiedBy>子雄1413981643</lastModifiedBy>
  <lastPrinted>2014-10-29T12:08:00Z</lastPrinted>
  <dcterms:modified xsi:type="dcterms:W3CDTF">2019-04-12T01:51:50Z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