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color w:val="2D2D2D"/>
          <w:sz w:val="28"/>
          <w:szCs w:val="28"/>
        </w:rPr>
      </w:pPr>
      <w:r>
        <w:rPr>
          <w:rStyle w:val="3"/>
          <w:rFonts w:hint="eastAsia" w:ascii="仿宋_GB2312" w:hAnsi="仿宋_GB2312" w:eastAsia="仿宋_GB2312" w:cs="仿宋_GB2312"/>
          <w:color w:val="2D2D2D"/>
          <w:kern w:val="0"/>
          <w:sz w:val="28"/>
          <w:szCs w:val="28"/>
          <w:lang w:val="en-US" w:eastAsia="zh-CN" w:bidi="ar"/>
        </w:rPr>
        <w:t>河南省教育厅办公室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color w:val="2D2D2D"/>
          <w:sz w:val="28"/>
          <w:szCs w:val="28"/>
        </w:rPr>
      </w:pPr>
      <w:r>
        <w:rPr>
          <w:rStyle w:val="3"/>
          <w:rFonts w:hint="eastAsia" w:ascii="仿宋_GB2312" w:hAnsi="仿宋_GB2312" w:eastAsia="仿宋_GB2312" w:cs="仿宋_GB2312"/>
          <w:color w:val="2D2D2D"/>
          <w:kern w:val="0"/>
          <w:sz w:val="28"/>
          <w:szCs w:val="28"/>
          <w:lang w:val="en-US" w:eastAsia="zh-CN" w:bidi="ar"/>
        </w:rPr>
        <w:t>转发教育部办公厅关于做好全国教育科学“十三五”规划2016年度课题组织申报工作的通知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color w:val="2D2D2D"/>
          <w:kern w:val="0"/>
          <w:sz w:val="28"/>
          <w:szCs w:val="28"/>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color w:val="2D2D2D"/>
          <w:sz w:val="28"/>
          <w:szCs w:val="28"/>
        </w:rPr>
      </w:pPr>
      <w:r>
        <w:rPr>
          <w:rFonts w:hint="eastAsia" w:ascii="仿宋_GB2312" w:hAnsi="仿宋_GB2312" w:eastAsia="仿宋_GB2312" w:cs="仿宋_GB2312"/>
          <w:color w:val="2D2D2D"/>
          <w:kern w:val="0"/>
          <w:sz w:val="28"/>
          <w:szCs w:val="28"/>
          <w:lang w:val="en-US" w:eastAsia="zh-CN" w:bidi="ar"/>
        </w:rPr>
        <w:t>各省辖市、省直管县（市）教育局，各高等学校、省属中等专业学校，厅机关各处室及直属单位（学校）：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color w:val="2D2D2D"/>
          <w:sz w:val="28"/>
          <w:szCs w:val="28"/>
        </w:rPr>
      </w:pPr>
      <w:r>
        <w:rPr>
          <w:rFonts w:hint="eastAsia" w:ascii="仿宋_GB2312" w:hAnsi="仿宋_GB2312" w:eastAsia="仿宋_GB2312" w:cs="仿宋_GB2312"/>
          <w:color w:val="2D2D2D"/>
          <w:kern w:val="0"/>
          <w:sz w:val="28"/>
          <w:szCs w:val="28"/>
          <w:lang w:val="en-US" w:eastAsia="zh-CN" w:bidi="ar"/>
        </w:rPr>
        <w:t>　　现将《教育部办公厅关于做好全国教育科学“十三五”规划2016年度课题组织申报工作的通知》（见附件）转发给你们，请严格按照通知要求，积极组织好课题申报工作。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color w:val="2D2D2D"/>
          <w:sz w:val="28"/>
          <w:szCs w:val="28"/>
        </w:rPr>
      </w:pPr>
      <w:r>
        <w:rPr>
          <w:rFonts w:hint="eastAsia" w:ascii="仿宋_GB2312" w:hAnsi="仿宋_GB2312" w:eastAsia="仿宋_GB2312" w:cs="仿宋_GB2312"/>
          <w:color w:val="2D2D2D"/>
          <w:kern w:val="0"/>
          <w:sz w:val="28"/>
          <w:szCs w:val="28"/>
          <w:lang w:val="en-US" w:eastAsia="zh-CN" w:bidi="ar"/>
        </w:rPr>
        <w:t>　　申报要求及所需填写的表格请直接登录全国教育科学规划领导小组办公室网站（http：//onsgep.moe.edu.cn）查阅并下载。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color w:val="2D2D2D"/>
          <w:sz w:val="28"/>
          <w:szCs w:val="28"/>
        </w:rPr>
      </w:pPr>
      <w:r>
        <w:rPr>
          <w:rFonts w:hint="eastAsia" w:ascii="仿宋_GB2312" w:hAnsi="仿宋_GB2312" w:eastAsia="仿宋_GB2312" w:cs="仿宋_GB2312"/>
          <w:color w:val="2D2D2D"/>
          <w:kern w:val="0"/>
          <w:sz w:val="28"/>
          <w:szCs w:val="28"/>
          <w:lang w:val="en-US" w:eastAsia="zh-CN" w:bidi="ar"/>
        </w:rPr>
        <w:t>　　请各单位将审核过的申报纸质材料及电子表格汇总后，报送河南省教育科学规划领导小组办公室。申报受理时间2016年4月11日至13日，逾期不予受理。咨询电话：0371—65838010；邮箱：hnsjkghb816@163.com；地址：郑州市纬五路12号供销大厦816室,邮编：450003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color w:val="2D2D2D"/>
          <w:sz w:val="28"/>
          <w:szCs w:val="28"/>
        </w:rPr>
      </w:pPr>
      <w:r>
        <w:rPr>
          <w:rFonts w:hint="eastAsia" w:ascii="仿宋_GB2312" w:hAnsi="仿宋_GB2312" w:eastAsia="仿宋_GB2312" w:cs="仿宋_GB2312"/>
          <w:color w:val="2D2D2D"/>
          <w:kern w:val="0"/>
          <w:sz w:val="28"/>
          <w:szCs w:val="28"/>
          <w:lang w:val="en-US" w:eastAsia="zh-CN" w:bidi="ar"/>
        </w:rPr>
        <w:t>　　附件：教育部办公厅关于做好全国教育科学“十三五”规划2016年度课题组织申报工作的通知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right"/>
        <w:textAlignment w:val="auto"/>
        <w:outlineLvl w:val="9"/>
        <w:rPr>
          <w:rFonts w:hint="eastAsia" w:ascii="仿宋_GB2312" w:hAnsi="仿宋_GB2312" w:eastAsia="仿宋_GB2312" w:cs="仿宋_GB2312"/>
          <w:color w:val="2D2D2D"/>
          <w:sz w:val="28"/>
          <w:szCs w:val="28"/>
        </w:rPr>
      </w:pPr>
      <w:r>
        <w:rPr>
          <w:rFonts w:hint="eastAsia" w:ascii="仿宋_GB2312" w:hAnsi="仿宋_GB2312" w:eastAsia="仿宋_GB2312" w:cs="仿宋_GB2312"/>
          <w:color w:val="2D2D2D"/>
          <w:kern w:val="0"/>
          <w:sz w:val="28"/>
          <w:szCs w:val="28"/>
          <w:lang w:val="en-US" w:eastAsia="zh-CN" w:bidi="ar"/>
        </w:rPr>
        <w:t>　　河南省教育厅办公室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560" w:firstLineChars="200"/>
        <w:jc w:val="right"/>
        <w:textAlignment w:val="auto"/>
        <w:outlineLvl w:val="9"/>
        <w:rPr>
          <w:rFonts w:hint="eastAsia" w:ascii="仿宋_GB2312" w:hAnsi="仿宋_GB2312" w:eastAsia="仿宋_GB2312" w:cs="仿宋_GB2312"/>
          <w:color w:val="2D2D2D"/>
          <w:kern w:val="0"/>
          <w:sz w:val="28"/>
          <w:szCs w:val="28"/>
          <w:lang w:val="en-US" w:eastAsia="zh-CN" w:bidi="ar"/>
        </w:rPr>
      </w:pPr>
      <w:r>
        <w:rPr>
          <w:rFonts w:hint="eastAsia" w:ascii="仿宋_GB2312" w:hAnsi="仿宋_GB2312" w:eastAsia="仿宋_GB2312" w:cs="仿宋_GB2312"/>
          <w:color w:val="2D2D2D"/>
          <w:kern w:val="0"/>
          <w:sz w:val="28"/>
          <w:szCs w:val="28"/>
          <w:lang w:val="en-US" w:eastAsia="zh-CN" w:bidi="ar"/>
        </w:rPr>
        <w:t>2016年3月4日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560" w:firstLineChars="200"/>
        <w:jc w:val="right"/>
        <w:textAlignment w:val="auto"/>
        <w:outlineLvl w:val="9"/>
        <w:rPr>
          <w:rFonts w:hint="eastAsia" w:ascii="仿宋_GB2312" w:hAnsi="仿宋_GB2312" w:eastAsia="仿宋_GB2312" w:cs="仿宋_GB2312"/>
          <w:color w:val="2D2D2D"/>
          <w:kern w:val="0"/>
          <w:sz w:val="28"/>
          <w:szCs w:val="28"/>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560" w:firstLineChars="200"/>
        <w:jc w:val="right"/>
        <w:textAlignment w:val="auto"/>
        <w:outlineLvl w:val="9"/>
        <w:rPr>
          <w:rFonts w:hint="eastAsia" w:ascii="仿宋_GB2312" w:hAnsi="仿宋_GB2312" w:eastAsia="仿宋_GB2312" w:cs="仿宋_GB2312"/>
          <w:color w:val="2D2D2D"/>
          <w:kern w:val="0"/>
          <w:sz w:val="28"/>
          <w:szCs w:val="28"/>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560" w:firstLineChars="200"/>
        <w:jc w:val="right"/>
        <w:textAlignment w:val="auto"/>
        <w:outlineLvl w:val="9"/>
        <w:rPr>
          <w:rFonts w:hint="eastAsia" w:ascii="仿宋_GB2312" w:hAnsi="仿宋_GB2312" w:eastAsia="仿宋_GB2312" w:cs="仿宋_GB2312"/>
          <w:color w:val="2D2D2D"/>
          <w:kern w:val="0"/>
          <w:sz w:val="28"/>
          <w:szCs w:val="28"/>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560" w:firstLineChars="200"/>
        <w:jc w:val="right"/>
        <w:textAlignment w:val="auto"/>
        <w:outlineLvl w:val="9"/>
        <w:rPr>
          <w:rFonts w:hint="eastAsia" w:ascii="仿宋_GB2312" w:hAnsi="仿宋_GB2312" w:eastAsia="仿宋_GB2312" w:cs="仿宋_GB2312"/>
          <w:color w:val="2D2D2D"/>
          <w:kern w:val="0"/>
          <w:sz w:val="28"/>
          <w:szCs w:val="28"/>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color w:val="2D2D2D"/>
          <w:sz w:val="28"/>
          <w:szCs w:val="28"/>
        </w:rPr>
      </w:pPr>
      <w:r>
        <w:rPr>
          <w:rStyle w:val="3"/>
          <w:rFonts w:hint="eastAsia" w:ascii="仿宋_GB2312" w:hAnsi="仿宋_GB2312" w:eastAsia="仿宋_GB2312" w:cs="仿宋_GB2312"/>
          <w:color w:val="2D2D2D"/>
          <w:kern w:val="0"/>
          <w:sz w:val="28"/>
          <w:szCs w:val="28"/>
          <w:lang w:val="en-US" w:eastAsia="zh-CN" w:bidi="ar"/>
        </w:rPr>
        <w:t>教育部办公厅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color w:val="2D2D2D"/>
          <w:sz w:val="28"/>
          <w:szCs w:val="28"/>
        </w:rPr>
      </w:pPr>
      <w:r>
        <w:rPr>
          <w:rStyle w:val="3"/>
          <w:rFonts w:hint="eastAsia" w:ascii="仿宋_GB2312" w:hAnsi="仿宋_GB2312" w:eastAsia="仿宋_GB2312" w:cs="仿宋_GB2312"/>
          <w:color w:val="2D2D2D"/>
          <w:kern w:val="0"/>
          <w:sz w:val="28"/>
          <w:szCs w:val="28"/>
          <w:lang w:val="en-US" w:eastAsia="zh-CN" w:bidi="ar"/>
        </w:rPr>
        <w:t>关于做好全国教育科学“十三五”规划2016年度课题组织申报工作的通知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color w:val="2D2D2D"/>
          <w:kern w:val="0"/>
          <w:sz w:val="28"/>
          <w:szCs w:val="28"/>
          <w:lang w:val="en-US" w:eastAsia="zh-CN" w:bidi="ar"/>
        </w:rPr>
      </w:pPr>
      <w:r>
        <w:rPr>
          <w:rFonts w:hint="eastAsia" w:ascii="仿宋_GB2312" w:hAnsi="仿宋_GB2312" w:eastAsia="仿宋_GB2312" w:cs="仿宋_GB2312"/>
          <w:color w:val="2D2D2D"/>
          <w:kern w:val="0"/>
          <w:sz w:val="28"/>
          <w:szCs w:val="28"/>
          <w:lang w:val="en-US" w:eastAsia="zh-CN" w:bidi="ar"/>
        </w:rPr>
        <w:t>教办厅函[2016]12号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color w:val="2D2D2D"/>
          <w:sz w:val="28"/>
          <w:szCs w:val="28"/>
        </w:rPr>
      </w:pPr>
      <w:r>
        <w:rPr>
          <w:rFonts w:hint="eastAsia" w:ascii="仿宋_GB2312" w:hAnsi="仿宋_GB2312" w:eastAsia="仿宋_GB2312" w:cs="仿宋_GB2312"/>
          <w:color w:val="2D2D2D"/>
          <w:kern w:val="0"/>
          <w:sz w:val="28"/>
          <w:szCs w:val="28"/>
          <w:lang w:val="en-US" w:eastAsia="zh-CN" w:bidi="ar"/>
        </w:rPr>
        <w:t>各省、自治区、直辖市教育厅（教委）、教育科学研究院（所）、教育科学规划领导小组办公室，新疆生产建设兵团教育局，中央军委训练管理部院校局、全军军事教育科学规划办公室，部属各高等学校，部内各司局、各直属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color w:val="2D2D2D"/>
          <w:sz w:val="28"/>
          <w:szCs w:val="28"/>
        </w:rPr>
      </w:pPr>
      <w:r>
        <w:rPr>
          <w:rFonts w:hint="eastAsia" w:ascii="仿宋_GB2312" w:hAnsi="仿宋_GB2312" w:eastAsia="仿宋_GB2312" w:cs="仿宋_GB2312"/>
          <w:color w:val="2D2D2D"/>
          <w:kern w:val="0"/>
          <w:sz w:val="28"/>
          <w:szCs w:val="28"/>
          <w:lang w:val="en-US" w:eastAsia="zh-CN" w:bidi="ar"/>
        </w:rPr>
        <w:t xml:space="preserve">    为深入贯彻落实党的十八大和十八届三中、四中、五中全会精神以及《国家中长期教育改革和发展规划纲要（2010-2020年）》，经全国教育科学规划领导小组批准，决定于2016年2月25日-4月25日开展2016年度全国教育科学规划课题申报工作。本年度只设国家重大和重点招标课题指南（见附件），其他类别课题不设指南，由申请人自拟课题名称申报。同年度申请国家自然科学基金、国家社科基金、教育部人文社会科学及其他国家级科研项目的负责人不能申报全国教育科学规划课题。课题组织申报办法详见附件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color w:val="2D2D2D"/>
          <w:kern w:val="0"/>
          <w:sz w:val="28"/>
          <w:szCs w:val="28"/>
          <w:lang w:val="en-US" w:eastAsia="zh-CN" w:bidi="ar"/>
        </w:rPr>
      </w:pPr>
      <w:r>
        <w:rPr>
          <w:rFonts w:hint="eastAsia" w:ascii="仿宋_GB2312" w:hAnsi="仿宋_GB2312" w:eastAsia="仿宋_GB2312" w:cs="仿宋_GB2312"/>
          <w:color w:val="2D2D2D"/>
          <w:kern w:val="0"/>
          <w:sz w:val="28"/>
          <w:szCs w:val="28"/>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color w:val="2D2D2D"/>
          <w:sz w:val="28"/>
          <w:szCs w:val="28"/>
        </w:rPr>
      </w:pPr>
      <w:r>
        <w:rPr>
          <w:rFonts w:hint="eastAsia" w:ascii="仿宋_GB2312" w:hAnsi="仿宋_GB2312" w:eastAsia="仿宋_GB2312" w:cs="仿宋_GB2312"/>
          <w:color w:val="2D2D2D"/>
          <w:kern w:val="0"/>
          <w:sz w:val="28"/>
          <w:szCs w:val="28"/>
          <w:lang w:val="en-US" w:eastAsia="zh-CN" w:bidi="ar"/>
        </w:rPr>
        <w:t xml:space="preserve">    附件：1.2016年度全国教育科学规划国家重大和重点招标课题指南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color w:val="2D2D2D"/>
          <w:sz w:val="28"/>
          <w:szCs w:val="28"/>
        </w:rPr>
      </w:pPr>
      <w:r>
        <w:rPr>
          <w:rFonts w:hint="eastAsia" w:ascii="仿宋_GB2312" w:hAnsi="仿宋_GB2312" w:eastAsia="仿宋_GB2312" w:cs="仿宋_GB2312"/>
          <w:color w:val="2D2D2D"/>
          <w:kern w:val="0"/>
          <w:sz w:val="28"/>
          <w:szCs w:val="28"/>
          <w:lang w:val="en-US" w:eastAsia="zh-CN" w:bidi="ar"/>
        </w:rPr>
        <w:t>　      　 2.全国教育科学“十三五”规划2016年度课题组织申报办法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right"/>
        <w:textAlignment w:val="auto"/>
        <w:outlineLvl w:val="9"/>
        <w:rPr>
          <w:rFonts w:hint="eastAsia" w:ascii="仿宋_GB2312" w:hAnsi="仿宋_GB2312" w:eastAsia="仿宋_GB2312" w:cs="仿宋_GB2312"/>
          <w:color w:val="2D2D2D"/>
          <w:kern w:val="0"/>
          <w:sz w:val="28"/>
          <w:szCs w:val="28"/>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right"/>
        <w:textAlignment w:val="auto"/>
        <w:outlineLvl w:val="9"/>
        <w:rPr>
          <w:rFonts w:hint="eastAsia" w:ascii="仿宋_GB2312" w:hAnsi="仿宋_GB2312" w:eastAsia="仿宋_GB2312" w:cs="仿宋_GB2312"/>
          <w:color w:val="2D2D2D"/>
          <w:sz w:val="28"/>
          <w:szCs w:val="28"/>
        </w:rPr>
      </w:pPr>
      <w:r>
        <w:rPr>
          <w:rFonts w:hint="eastAsia" w:ascii="仿宋_GB2312" w:hAnsi="仿宋_GB2312" w:eastAsia="仿宋_GB2312" w:cs="仿宋_GB2312"/>
          <w:color w:val="2D2D2D"/>
          <w:kern w:val="0"/>
          <w:sz w:val="28"/>
          <w:szCs w:val="28"/>
          <w:lang w:val="en-US" w:eastAsia="zh-CN" w:bidi="ar"/>
        </w:rPr>
        <w:t>　　教育部办公厅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right"/>
        <w:textAlignment w:val="auto"/>
        <w:outlineLvl w:val="9"/>
        <w:rPr>
          <w:rFonts w:hint="eastAsia" w:ascii="仿宋_GB2312" w:hAnsi="仿宋_GB2312" w:eastAsia="仿宋_GB2312" w:cs="仿宋_GB2312"/>
          <w:color w:val="2D2D2D"/>
          <w:sz w:val="28"/>
          <w:szCs w:val="28"/>
        </w:rPr>
      </w:pPr>
      <w:r>
        <w:rPr>
          <w:rFonts w:hint="eastAsia" w:ascii="仿宋_GB2312" w:hAnsi="仿宋_GB2312" w:eastAsia="仿宋_GB2312" w:cs="仿宋_GB2312"/>
          <w:color w:val="2D2D2D"/>
          <w:kern w:val="0"/>
          <w:sz w:val="28"/>
          <w:szCs w:val="28"/>
          <w:lang w:val="en-US" w:eastAsia="zh-CN" w:bidi="ar"/>
        </w:rPr>
        <w:t>　　                    2016年2月22日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color w:val="2D2D2D"/>
          <w:sz w:val="28"/>
          <w:szCs w:val="28"/>
        </w:rPr>
      </w:pPr>
      <w:r>
        <w:rPr>
          <w:rFonts w:hint="eastAsia" w:ascii="仿宋_GB2312" w:hAnsi="仿宋_GB2312" w:eastAsia="仿宋_GB2312" w:cs="仿宋_GB2312"/>
          <w:color w:val="2D2D2D"/>
          <w:kern w:val="0"/>
          <w:sz w:val="28"/>
          <w:szCs w:val="28"/>
          <w:lang w:val="en-US" w:eastAsia="zh-CN" w:bidi="ar"/>
        </w:rPr>
        <w:t>附件1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color w:val="2D2D2D"/>
          <w:sz w:val="28"/>
          <w:szCs w:val="28"/>
        </w:rPr>
      </w:pPr>
      <w:r>
        <w:rPr>
          <w:rStyle w:val="3"/>
          <w:rFonts w:hint="eastAsia" w:ascii="仿宋_GB2312" w:hAnsi="仿宋_GB2312" w:eastAsia="仿宋_GB2312" w:cs="仿宋_GB2312"/>
          <w:color w:val="2D2D2D"/>
          <w:kern w:val="0"/>
          <w:sz w:val="28"/>
          <w:szCs w:val="28"/>
          <w:lang w:val="en-US" w:eastAsia="zh-CN" w:bidi="ar"/>
        </w:rPr>
        <w:t>2016年度全国教育科学规划国家重大和重点招标课题指南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color w:val="2D2D2D"/>
          <w:sz w:val="28"/>
          <w:szCs w:val="28"/>
        </w:rPr>
      </w:pPr>
      <w:r>
        <w:rPr>
          <w:rStyle w:val="3"/>
          <w:rFonts w:hint="eastAsia" w:ascii="仿宋_GB2312" w:hAnsi="仿宋_GB2312" w:eastAsia="仿宋_GB2312" w:cs="仿宋_GB2312"/>
          <w:color w:val="2D2D2D"/>
          <w:kern w:val="0"/>
          <w:sz w:val="28"/>
          <w:szCs w:val="28"/>
          <w:lang w:val="en-US" w:eastAsia="zh-CN" w:bidi="ar"/>
        </w:rPr>
        <w:t>　　重大招标课题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color w:val="2D2D2D"/>
          <w:sz w:val="28"/>
          <w:szCs w:val="28"/>
        </w:rPr>
      </w:pPr>
      <w:r>
        <w:rPr>
          <w:rFonts w:hint="eastAsia" w:ascii="仿宋_GB2312" w:hAnsi="仿宋_GB2312" w:eastAsia="仿宋_GB2312" w:cs="仿宋_GB2312"/>
          <w:color w:val="2D2D2D"/>
          <w:kern w:val="0"/>
          <w:sz w:val="28"/>
          <w:szCs w:val="28"/>
          <w:lang w:val="en-US" w:eastAsia="zh-CN" w:bidi="ar"/>
        </w:rPr>
        <w:t>　　1.我国教育2030年发展目标及推进战略研究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color w:val="2D2D2D"/>
          <w:sz w:val="28"/>
          <w:szCs w:val="28"/>
        </w:rPr>
      </w:pPr>
      <w:r>
        <w:rPr>
          <w:rFonts w:hint="eastAsia" w:ascii="仿宋_GB2312" w:hAnsi="仿宋_GB2312" w:eastAsia="仿宋_GB2312" w:cs="仿宋_GB2312"/>
          <w:color w:val="2D2D2D"/>
          <w:kern w:val="0"/>
          <w:sz w:val="28"/>
          <w:szCs w:val="28"/>
          <w:lang w:val="en-US" w:eastAsia="zh-CN" w:bidi="ar"/>
        </w:rPr>
        <w:t>　　2.全面普及高中阶段教育保障机制与推进策略研究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color w:val="2D2D2D"/>
          <w:sz w:val="28"/>
          <w:szCs w:val="28"/>
        </w:rPr>
      </w:pPr>
      <w:r>
        <w:rPr>
          <w:rFonts w:hint="eastAsia" w:ascii="仿宋_GB2312" w:hAnsi="仿宋_GB2312" w:eastAsia="仿宋_GB2312" w:cs="仿宋_GB2312"/>
          <w:color w:val="2D2D2D"/>
          <w:kern w:val="0"/>
          <w:sz w:val="28"/>
          <w:szCs w:val="28"/>
          <w:lang w:val="en-US" w:eastAsia="zh-CN" w:bidi="ar"/>
        </w:rPr>
        <w:t>　　3.高等教育强国的内涵、标准、实现路径和监测指标研究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color w:val="2D2D2D"/>
          <w:sz w:val="28"/>
          <w:szCs w:val="28"/>
        </w:rPr>
      </w:pPr>
      <w:r>
        <w:rPr>
          <w:rFonts w:hint="eastAsia" w:ascii="仿宋_GB2312" w:hAnsi="仿宋_GB2312" w:eastAsia="仿宋_GB2312" w:cs="仿宋_GB2312"/>
          <w:color w:val="2D2D2D"/>
          <w:kern w:val="0"/>
          <w:sz w:val="28"/>
          <w:szCs w:val="28"/>
          <w:lang w:val="en-US" w:eastAsia="zh-CN" w:bidi="ar"/>
        </w:rPr>
        <w:t>　　4.中国与OECD教育发展主要指标及发展趋势比较研究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color w:val="2D2D2D"/>
          <w:sz w:val="28"/>
          <w:szCs w:val="28"/>
        </w:rPr>
      </w:pPr>
      <w:r>
        <w:rPr>
          <w:rFonts w:hint="eastAsia" w:ascii="仿宋_GB2312" w:hAnsi="仿宋_GB2312" w:eastAsia="仿宋_GB2312" w:cs="仿宋_GB2312"/>
          <w:color w:val="2D2D2D"/>
          <w:kern w:val="0"/>
          <w:sz w:val="28"/>
          <w:szCs w:val="28"/>
          <w:lang w:val="en-US" w:eastAsia="zh-CN" w:bidi="ar"/>
        </w:rPr>
        <w:t>　　5.我国教育治理体系和治理能力现代化战略研究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color w:val="2D2D2D"/>
          <w:sz w:val="28"/>
          <w:szCs w:val="28"/>
        </w:rPr>
      </w:pPr>
      <w:r>
        <w:rPr>
          <w:rStyle w:val="3"/>
          <w:rFonts w:hint="eastAsia" w:ascii="仿宋_GB2312" w:hAnsi="仿宋_GB2312" w:eastAsia="仿宋_GB2312" w:cs="仿宋_GB2312"/>
          <w:color w:val="2D2D2D"/>
          <w:kern w:val="0"/>
          <w:sz w:val="28"/>
          <w:szCs w:val="28"/>
          <w:lang w:val="en-US" w:eastAsia="zh-CN" w:bidi="ar"/>
        </w:rPr>
        <w:t>　　重点招标课题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color w:val="2D2D2D"/>
          <w:sz w:val="28"/>
          <w:szCs w:val="28"/>
        </w:rPr>
      </w:pPr>
      <w:r>
        <w:rPr>
          <w:rFonts w:hint="eastAsia" w:ascii="仿宋_GB2312" w:hAnsi="仿宋_GB2312" w:eastAsia="仿宋_GB2312" w:cs="仿宋_GB2312"/>
          <w:color w:val="2D2D2D"/>
          <w:kern w:val="0"/>
          <w:sz w:val="28"/>
          <w:szCs w:val="28"/>
          <w:lang w:val="en-US" w:eastAsia="zh-CN" w:bidi="ar"/>
        </w:rPr>
        <w:t>　　1.人才培养模式的国际经验及改革研究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color w:val="2D2D2D"/>
          <w:sz w:val="28"/>
          <w:szCs w:val="28"/>
        </w:rPr>
      </w:pPr>
      <w:r>
        <w:rPr>
          <w:rFonts w:hint="eastAsia" w:ascii="仿宋_GB2312" w:hAnsi="仿宋_GB2312" w:eastAsia="仿宋_GB2312" w:cs="仿宋_GB2312"/>
          <w:color w:val="2D2D2D"/>
          <w:kern w:val="0"/>
          <w:sz w:val="28"/>
          <w:szCs w:val="28"/>
          <w:lang w:val="en-US" w:eastAsia="zh-CN" w:bidi="ar"/>
        </w:rPr>
        <w:t>　　2.社会变迁进程中青少年价值观的发展与影响机制研究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color w:val="2D2D2D"/>
          <w:sz w:val="28"/>
          <w:szCs w:val="28"/>
        </w:rPr>
      </w:pPr>
      <w:r>
        <w:rPr>
          <w:rFonts w:hint="eastAsia" w:ascii="仿宋_GB2312" w:hAnsi="仿宋_GB2312" w:eastAsia="仿宋_GB2312" w:cs="仿宋_GB2312"/>
          <w:color w:val="2D2D2D"/>
          <w:kern w:val="0"/>
          <w:sz w:val="28"/>
          <w:szCs w:val="28"/>
          <w:lang w:val="en-US" w:eastAsia="zh-CN" w:bidi="ar"/>
        </w:rPr>
        <w:t>　　3.义务教育学校标准化建设研究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color w:val="2D2D2D"/>
          <w:sz w:val="28"/>
          <w:szCs w:val="28"/>
        </w:rPr>
      </w:pPr>
      <w:r>
        <w:rPr>
          <w:rFonts w:hint="eastAsia" w:ascii="仿宋_GB2312" w:hAnsi="仿宋_GB2312" w:eastAsia="仿宋_GB2312" w:cs="仿宋_GB2312"/>
          <w:color w:val="2D2D2D"/>
          <w:kern w:val="0"/>
          <w:sz w:val="28"/>
          <w:szCs w:val="28"/>
          <w:lang w:val="en-US" w:eastAsia="zh-CN" w:bidi="ar"/>
        </w:rPr>
        <w:t>　　4.艺术教育综合改革研究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color w:val="2D2D2D"/>
          <w:sz w:val="28"/>
          <w:szCs w:val="28"/>
        </w:rPr>
      </w:pPr>
      <w:r>
        <w:rPr>
          <w:rFonts w:hint="eastAsia" w:ascii="仿宋_GB2312" w:hAnsi="仿宋_GB2312" w:eastAsia="仿宋_GB2312" w:cs="仿宋_GB2312"/>
          <w:color w:val="2D2D2D"/>
          <w:kern w:val="0"/>
          <w:sz w:val="28"/>
          <w:szCs w:val="28"/>
          <w:lang w:val="en-US" w:eastAsia="zh-CN" w:bidi="ar"/>
        </w:rPr>
        <w:t>　　5.学前教育中长期发展目标及推进策略研究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color w:val="2D2D2D"/>
          <w:sz w:val="28"/>
          <w:szCs w:val="28"/>
        </w:rPr>
      </w:pPr>
      <w:r>
        <w:rPr>
          <w:rFonts w:hint="eastAsia" w:ascii="仿宋_GB2312" w:hAnsi="仿宋_GB2312" w:eastAsia="仿宋_GB2312" w:cs="仿宋_GB2312"/>
          <w:color w:val="2D2D2D"/>
          <w:kern w:val="0"/>
          <w:sz w:val="28"/>
          <w:szCs w:val="28"/>
          <w:lang w:val="en-US" w:eastAsia="zh-CN" w:bidi="ar"/>
        </w:rPr>
        <w:t>　　6.职业教育现代化的内涵、标准、实现路径和监测指标研究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color w:val="2D2D2D"/>
          <w:sz w:val="28"/>
          <w:szCs w:val="28"/>
        </w:rPr>
      </w:pPr>
      <w:r>
        <w:rPr>
          <w:rFonts w:hint="eastAsia" w:ascii="仿宋_GB2312" w:hAnsi="仿宋_GB2312" w:eastAsia="仿宋_GB2312" w:cs="仿宋_GB2312"/>
          <w:color w:val="2D2D2D"/>
          <w:kern w:val="0"/>
          <w:sz w:val="28"/>
          <w:szCs w:val="28"/>
          <w:lang w:val="en-US" w:eastAsia="zh-CN" w:bidi="ar"/>
        </w:rPr>
        <w:t>　　7.特殊教育中长期发展目标及推进策略研究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color w:val="2D2D2D"/>
          <w:sz w:val="28"/>
          <w:szCs w:val="28"/>
        </w:rPr>
      </w:pPr>
      <w:r>
        <w:rPr>
          <w:rFonts w:hint="eastAsia" w:ascii="仿宋_GB2312" w:hAnsi="仿宋_GB2312" w:eastAsia="仿宋_GB2312" w:cs="仿宋_GB2312"/>
          <w:color w:val="2D2D2D"/>
          <w:kern w:val="0"/>
          <w:sz w:val="28"/>
          <w:szCs w:val="28"/>
          <w:lang w:val="en-US" w:eastAsia="zh-CN" w:bidi="ar"/>
        </w:rPr>
        <w:t>　　8.民族地区教育发展战略研究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color w:val="2D2D2D"/>
          <w:sz w:val="28"/>
          <w:szCs w:val="28"/>
        </w:rPr>
      </w:pPr>
      <w:r>
        <w:rPr>
          <w:rFonts w:hint="eastAsia" w:ascii="仿宋_GB2312" w:hAnsi="仿宋_GB2312" w:eastAsia="仿宋_GB2312" w:cs="仿宋_GB2312"/>
          <w:color w:val="2D2D2D"/>
          <w:kern w:val="0"/>
          <w:sz w:val="28"/>
          <w:szCs w:val="28"/>
          <w:lang w:val="en-US" w:eastAsia="zh-CN" w:bidi="ar"/>
        </w:rPr>
        <w:t>　　9.加快推进民办教育可持续发展战略研究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color w:val="2D2D2D"/>
          <w:sz w:val="28"/>
          <w:szCs w:val="28"/>
        </w:rPr>
      </w:pPr>
      <w:r>
        <w:rPr>
          <w:rFonts w:hint="eastAsia" w:ascii="仿宋_GB2312" w:hAnsi="仿宋_GB2312" w:eastAsia="仿宋_GB2312" w:cs="仿宋_GB2312"/>
          <w:color w:val="2D2D2D"/>
          <w:kern w:val="0"/>
          <w:sz w:val="28"/>
          <w:szCs w:val="28"/>
          <w:lang w:val="en-US" w:eastAsia="zh-CN" w:bidi="ar"/>
        </w:rPr>
        <w:t>　　10.国家学历资历框架研究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color w:val="2D2D2D"/>
          <w:sz w:val="28"/>
          <w:szCs w:val="28"/>
        </w:rPr>
      </w:pPr>
      <w:r>
        <w:rPr>
          <w:rFonts w:hint="eastAsia" w:ascii="仿宋_GB2312" w:hAnsi="仿宋_GB2312" w:eastAsia="仿宋_GB2312" w:cs="仿宋_GB2312"/>
          <w:color w:val="2D2D2D"/>
          <w:kern w:val="0"/>
          <w:sz w:val="28"/>
          <w:szCs w:val="28"/>
          <w:lang w:val="en-US" w:eastAsia="zh-CN" w:bidi="ar"/>
        </w:rPr>
        <w:t>　　11.世界一流大学和一流学科建设评价体系与推进战略研究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color w:val="2D2D2D"/>
          <w:sz w:val="28"/>
          <w:szCs w:val="28"/>
        </w:rPr>
      </w:pPr>
      <w:r>
        <w:rPr>
          <w:rFonts w:hint="eastAsia" w:ascii="仿宋_GB2312" w:hAnsi="仿宋_GB2312" w:eastAsia="仿宋_GB2312" w:cs="仿宋_GB2312"/>
          <w:color w:val="2D2D2D"/>
          <w:kern w:val="0"/>
          <w:sz w:val="28"/>
          <w:szCs w:val="28"/>
          <w:lang w:val="en-US" w:eastAsia="zh-CN" w:bidi="ar"/>
        </w:rPr>
        <w:t>　　12.教师队伍建设中长期战略目标及政策研究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color w:val="2D2D2D"/>
          <w:sz w:val="28"/>
          <w:szCs w:val="28"/>
        </w:rPr>
      </w:pPr>
      <w:r>
        <w:rPr>
          <w:rFonts w:hint="eastAsia" w:ascii="仿宋_GB2312" w:hAnsi="仿宋_GB2312" w:eastAsia="仿宋_GB2312" w:cs="仿宋_GB2312"/>
          <w:color w:val="2D2D2D"/>
          <w:kern w:val="0"/>
          <w:sz w:val="28"/>
          <w:szCs w:val="28"/>
          <w:lang w:val="en-US" w:eastAsia="zh-CN" w:bidi="ar"/>
        </w:rPr>
        <w:t>　　13.我国与发达国家的教育信息化比较和推进战略研究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color w:val="2D2D2D"/>
          <w:sz w:val="28"/>
          <w:szCs w:val="28"/>
        </w:rPr>
      </w:pPr>
      <w:r>
        <w:rPr>
          <w:rFonts w:hint="eastAsia" w:ascii="仿宋_GB2312" w:hAnsi="仿宋_GB2312" w:eastAsia="仿宋_GB2312" w:cs="仿宋_GB2312"/>
          <w:color w:val="2D2D2D"/>
          <w:kern w:val="0"/>
          <w:sz w:val="28"/>
          <w:szCs w:val="28"/>
          <w:lang w:val="en-US" w:eastAsia="zh-CN" w:bidi="ar"/>
        </w:rPr>
        <w:t>　　14.健全教育投入长效机制研究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color w:val="2D2D2D"/>
          <w:sz w:val="28"/>
          <w:szCs w:val="28"/>
        </w:rPr>
      </w:pPr>
      <w:r>
        <w:rPr>
          <w:rFonts w:hint="eastAsia" w:ascii="仿宋_GB2312" w:hAnsi="仿宋_GB2312" w:eastAsia="仿宋_GB2312" w:cs="仿宋_GB2312"/>
          <w:color w:val="2D2D2D"/>
          <w:kern w:val="0"/>
          <w:sz w:val="28"/>
          <w:szCs w:val="28"/>
          <w:lang w:val="en-US" w:eastAsia="zh-CN" w:bidi="ar"/>
        </w:rPr>
        <w:t>　　15.中国新时期教育改革30年(七五至十二五)反思性研究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color w:val="2D2D2D"/>
          <w:sz w:val="28"/>
          <w:szCs w:val="28"/>
        </w:rPr>
      </w:pPr>
      <w:r>
        <w:rPr>
          <w:rFonts w:hint="eastAsia" w:ascii="仿宋_GB2312" w:hAnsi="仿宋_GB2312" w:eastAsia="仿宋_GB2312" w:cs="仿宋_GB2312"/>
          <w:color w:val="2D2D2D"/>
          <w:kern w:val="0"/>
          <w:sz w:val="28"/>
          <w:szCs w:val="28"/>
          <w:lang w:val="en-US" w:eastAsia="zh-CN" w:bidi="ar"/>
        </w:rPr>
        <w:t>附件2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color w:val="2D2D2D"/>
          <w:sz w:val="28"/>
          <w:szCs w:val="28"/>
        </w:rPr>
      </w:pPr>
      <w:bookmarkStart w:id="0" w:name="_GoBack"/>
      <w:bookmarkEnd w:id="0"/>
      <w:r>
        <w:rPr>
          <w:rStyle w:val="3"/>
          <w:rFonts w:hint="eastAsia" w:ascii="仿宋_GB2312" w:hAnsi="仿宋_GB2312" w:eastAsia="仿宋_GB2312" w:cs="仿宋_GB2312"/>
          <w:color w:val="2D2D2D"/>
          <w:kern w:val="0"/>
          <w:sz w:val="28"/>
          <w:szCs w:val="28"/>
          <w:lang w:val="en-US" w:eastAsia="zh-CN" w:bidi="ar"/>
        </w:rPr>
        <w:t>全国教育科学“十三五”规划2016年度课题组织申报办法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color w:val="2D2D2D"/>
          <w:sz w:val="28"/>
          <w:szCs w:val="28"/>
        </w:rPr>
      </w:pPr>
      <w:r>
        <w:rPr>
          <w:rFonts w:hint="eastAsia" w:ascii="仿宋_GB2312" w:hAnsi="仿宋_GB2312" w:eastAsia="仿宋_GB2312" w:cs="仿宋_GB2312"/>
          <w:color w:val="2D2D2D"/>
          <w:kern w:val="0"/>
          <w:sz w:val="28"/>
          <w:szCs w:val="28"/>
          <w:lang w:val="en-US" w:eastAsia="zh-CN" w:bidi="ar"/>
        </w:rPr>
        <w:t>　　一、申报教育科学规划课题的指导思想是，高举中国特色社会主义伟大旗帜，以邓小平理论、“三个代表”重要思想、科学发展观为指导，深入贯彻落实党的十八大和十八届三中、四中、五中全会精神，贯彻落实习近平总书记系列讲话精神，以《国家中长期教育改革和发展规划纲要（2010-2020年）》的重大理论和现实问题为主攻方向，践行五大发展理念,解放思想,实事求是,大力推进理论创新、制度创新和方法创新，发挥全国教育科学规划课题的示范引导作用，推动教育科学为教育事业发展服务、为人力资源强国建设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color w:val="2D2D2D"/>
          <w:sz w:val="28"/>
          <w:szCs w:val="28"/>
        </w:rPr>
      </w:pPr>
      <w:r>
        <w:rPr>
          <w:rFonts w:hint="eastAsia" w:ascii="仿宋_GB2312" w:hAnsi="仿宋_GB2312" w:eastAsia="仿宋_GB2312" w:cs="仿宋_GB2312"/>
          <w:color w:val="2D2D2D"/>
          <w:kern w:val="0"/>
          <w:sz w:val="28"/>
          <w:szCs w:val="28"/>
          <w:lang w:val="en-US" w:eastAsia="zh-CN" w:bidi="ar"/>
        </w:rPr>
        <w:t>　　二、申报基础研究课题要力求具有原创性、开拓性和较高的学术思想价值；申报应用研究课题要具有现实性、针对性和较强的决策参考价值，着力推出体现国家水准的研究成果。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color w:val="2D2D2D"/>
          <w:sz w:val="28"/>
          <w:szCs w:val="28"/>
        </w:rPr>
      </w:pPr>
      <w:r>
        <w:rPr>
          <w:rFonts w:hint="eastAsia" w:ascii="仿宋_GB2312" w:hAnsi="仿宋_GB2312" w:eastAsia="仿宋_GB2312" w:cs="仿宋_GB2312"/>
          <w:color w:val="2D2D2D"/>
          <w:kern w:val="0"/>
          <w:sz w:val="28"/>
          <w:szCs w:val="28"/>
          <w:lang w:val="en-US" w:eastAsia="zh-CN" w:bidi="ar"/>
        </w:rPr>
        <w:t>　　三、国家重大和重点课题申请人须具有正高级专业技术职务或厅局级以上领导职务，能够担负起课题研究实际组织者和指导者的责任；其他类别课题申请人须具有副高级以上专业技术职务或博士学位，不具备的须由两名具有正高级专业技术职务的同行专家书面推荐。青年项目申请人和课题组成员的年龄均不超过35周岁（1981年4月25日之后出生）。课题组成员或推荐人须征得本人同意并签字确认，否则视为违规申报。申请人可以根据研究的实际需要，吸收境外研究人员作为课题组成员参与申请。在读的全日制研究生不能申请，具备申报条件的在职博士生（博士后）从所在工作单位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color w:val="2D2D2D"/>
          <w:sz w:val="28"/>
          <w:szCs w:val="28"/>
        </w:rPr>
      </w:pPr>
      <w:r>
        <w:rPr>
          <w:rFonts w:hint="eastAsia" w:ascii="仿宋_GB2312" w:hAnsi="仿宋_GB2312" w:eastAsia="仿宋_GB2312" w:cs="仿宋_GB2312"/>
          <w:color w:val="2D2D2D"/>
          <w:kern w:val="0"/>
          <w:sz w:val="28"/>
          <w:szCs w:val="28"/>
          <w:lang w:val="en-US" w:eastAsia="zh-CN" w:bidi="ar"/>
        </w:rPr>
        <w:t>　　四、课题承担单位必须符合以下条件：在相关领域具有较雄厚的学术资源和研究实力；设有科研管理的职能部门；能够提供开展研究工作的必要条件并承诺信誉保证。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color w:val="2D2D2D"/>
          <w:sz w:val="28"/>
          <w:szCs w:val="28"/>
        </w:rPr>
      </w:pPr>
      <w:r>
        <w:rPr>
          <w:rFonts w:hint="eastAsia" w:ascii="仿宋_GB2312" w:hAnsi="仿宋_GB2312" w:eastAsia="仿宋_GB2312" w:cs="仿宋_GB2312"/>
          <w:color w:val="2D2D2D"/>
          <w:kern w:val="0"/>
          <w:sz w:val="28"/>
          <w:szCs w:val="28"/>
          <w:lang w:val="en-US" w:eastAsia="zh-CN" w:bidi="ar"/>
        </w:rPr>
        <w:t>　　五、本年度拟设国家重大和重点委托课题若干，对教育发展中出现的一些重大问题快速做出反应，为党和政府高层科学决策及时提供政策建议。委托课题的研究内容及课题承担者由全国教育科学规划领导小组领导确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color w:val="2D2D2D"/>
          <w:sz w:val="28"/>
          <w:szCs w:val="28"/>
        </w:rPr>
      </w:pPr>
      <w:r>
        <w:rPr>
          <w:rFonts w:hint="eastAsia" w:ascii="仿宋_GB2312" w:hAnsi="仿宋_GB2312" w:eastAsia="仿宋_GB2312" w:cs="仿宋_GB2312"/>
          <w:color w:val="2D2D2D"/>
          <w:kern w:val="0"/>
          <w:sz w:val="28"/>
          <w:szCs w:val="28"/>
          <w:lang w:val="en-US" w:eastAsia="zh-CN" w:bidi="ar"/>
        </w:rPr>
        <w:t>　　六、本年度只设国家重大和重点招标课题指南，其他类别课题不设指南。申报重大和重点课题的，其名称须与指南保持一致，不得自行更改或添加副标题；需参加现场答辩，不参加答辩视为自动放弃。流标的重大和重点课题,可以通过委托形式进行研究。其他类别课题由申请人自拟课题名称，鼓励开展反映国家需要和国际趋势的前瞻性、创新性课题研究，不支持以编译著作、编写教材、编写丛书、编写工具书为直接目的课题研究。自拟课题名称的表述应科学、严谨、规范、简明，一般不加副标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color w:val="2D2D2D"/>
          <w:sz w:val="28"/>
          <w:szCs w:val="28"/>
        </w:rPr>
      </w:pPr>
      <w:r>
        <w:rPr>
          <w:rFonts w:hint="eastAsia" w:ascii="仿宋_GB2312" w:hAnsi="仿宋_GB2312" w:eastAsia="仿宋_GB2312" w:cs="仿宋_GB2312"/>
          <w:color w:val="2D2D2D"/>
          <w:kern w:val="0"/>
          <w:sz w:val="28"/>
          <w:szCs w:val="28"/>
          <w:lang w:val="en-US" w:eastAsia="zh-CN" w:bidi="ar"/>
        </w:rPr>
        <w:t>　　七、全国教育科学规划涉及14个学科。依照《申请书》列出的学科分类代码填写相应学科，跨学科课题根据“尽量靠近”原则选定一类学科进行申报。国防军事教育课题申报评审工作由全军军事教育科学规划办公室负责另行组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color w:val="2D2D2D"/>
          <w:sz w:val="28"/>
          <w:szCs w:val="28"/>
        </w:rPr>
      </w:pPr>
      <w:r>
        <w:rPr>
          <w:rFonts w:hint="eastAsia" w:ascii="仿宋_GB2312" w:hAnsi="仿宋_GB2312" w:eastAsia="仿宋_GB2312" w:cs="仿宋_GB2312"/>
          <w:color w:val="2D2D2D"/>
          <w:kern w:val="0"/>
          <w:sz w:val="28"/>
          <w:szCs w:val="28"/>
          <w:lang w:val="en-US" w:eastAsia="zh-CN" w:bidi="ar"/>
        </w:rPr>
        <w:t>　　八、本年度全国教育科学规划课题继续实行限额申报，限额指标另行下达。各省级教育科学规划领导小组办公室、教育部直属高校和部内司局、直属单位要着力把关提高申报质量，适当控制申报数量，特别是要减少同类选题重复申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color w:val="2D2D2D"/>
          <w:sz w:val="28"/>
          <w:szCs w:val="28"/>
        </w:rPr>
      </w:pPr>
      <w:r>
        <w:rPr>
          <w:rFonts w:hint="eastAsia" w:ascii="仿宋_GB2312" w:hAnsi="仿宋_GB2312" w:eastAsia="仿宋_GB2312" w:cs="仿宋_GB2312"/>
          <w:color w:val="2D2D2D"/>
          <w:kern w:val="0"/>
          <w:sz w:val="28"/>
          <w:szCs w:val="28"/>
          <w:lang w:val="en-US" w:eastAsia="zh-CN" w:bidi="ar"/>
        </w:rPr>
        <w:t>　　九、申报课题的资助额度为：国家社科基金教育学重大招标课题为30-50万元、重点课题为35万元、一般课题为18万元，青年基金课题为18万元；教育部重点课题为3万元、教育部青年专项为2万元。申请人要根据《全国教育科学规划课题成果鉴定结题细则》和《国家社会科学基金项目经费管理办法》的要求，确定申报课题类别，并根据实际需要编制合理科学的经费预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color w:val="2D2D2D"/>
          <w:sz w:val="28"/>
          <w:szCs w:val="28"/>
        </w:rPr>
      </w:pPr>
      <w:r>
        <w:rPr>
          <w:rFonts w:hint="eastAsia" w:ascii="仿宋_GB2312" w:hAnsi="仿宋_GB2312" w:eastAsia="仿宋_GB2312" w:cs="仿宋_GB2312"/>
          <w:color w:val="2D2D2D"/>
          <w:kern w:val="0"/>
          <w:sz w:val="28"/>
          <w:szCs w:val="28"/>
          <w:lang w:val="en-US" w:eastAsia="zh-CN" w:bidi="ar"/>
        </w:rPr>
        <w:t>　　十、全国教育科学规划课题的完成时限，国家重大、重点招标课题原则上要求在2年内完成；其他类别课题在1－3年完成，最迟在5年内完成。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color w:val="2D2D2D"/>
          <w:sz w:val="28"/>
          <w:szCs w:val="28"/>
        </w:rPr>
      </w:pPr>
      <w:r>
        <w:rPr>
          <w:rFonts w:hint="eastAsia" w:ascii="仿宋_GB2312" w:hAnsi="仿宋_GB2312" w:eastAsia="仿宋_GB2312" w:cs="仿宋_GB2312"/>
          <w:color w:val="2D2D2D"/>
          <w:kern w:val="0"/>
          <w:sz w:val="28"/>
          <w:szCs w:val="28"/>
          <w:lang w:val="en-US" w:eastAsia="zh-CN" w:bidi="ar"/>
        </w:rPr>
        <w:t>　　十一、为避免一题多报、交叉申请和重复立项，确保申请人有足够的时间和精力从事课题研究，对课题申请作如下限定：（1）课题负责人同年度只能申报一个全国教育科学规划课题，且不能作为课题组成员参与全国教育科学规划课题的申请；课题组成员同年度最多参与两个全国教育科学规划课题申请。在研国家级项目的课题组成员最多参与一个全国教育科学规划项目申请。（2）在研的国家社科基金项目、国家自然科学基金项目、全国教育科学规划课题、教育部人文社会科学课题及其他国家级科研项目的负责人不能申请新的全国教育科学规划课题（结题证书标注日期在2016年4月25日之前的可以申请，需附证明）。（3）申请国家自然科学基金项目、国家社科基金项目、教育部人文社会科学课题及其他国家级科研项目的负责人同年度不能申请全国教育科学规划课题，其课题组成员也不能作为负责人以内容相同或相近选题申请全国教育科学规划课题。（4）国家重大课题投标者的要求与国家社科基金重大项目投标者的要求相同。（5）凡在内容上与在研或已结项的各级各类项目有较大关联的申请课题，须在《申请书》中详细说明所申请项目与已承担项目的联系和区别，否则视为重复申请；不得以内容基本相同或相近的同一成果申请多家基金项目结项。（6）凡以博士学位论文或博士后出站报告为基础申报全国教育科学规划课题，须在《申请书》中注明所申请项目与学位论文（出站报告）的联系和区别，申请鉴定结项时提交学位论文（出站报告）原件。（7）不得以已出版的内容基本相同的研究成果申请全国教育科学规划课题。（8）凡以全国教育科学规划课题名义发表阶段性成果或最终成果，不得同时标注多家基金项目资助字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color w:val="2D2D2D"/>
          <w:sz w:val="28"/>
          <w:szCs w:val="28"/>
        </w:rPr>
      </w:pPr>
      <w:r>
        <w:rPr>
          <w:rFonts w:hint="eastAsia" w:ascii="仿宋_GB2312" w:hAnsi="仿宋_GB2312" w:eastAsia="仿宋_GB2312" w:cs="仿宋_GB2312"/>
          <w:color w:val="2D2D2D"/>
          <w:kern w:val="0"/>
          <w:sz w:val="28"/>
          <w:szCs w:val="28"/>
          <w:lang w:val="en-US" w:eastAsia="zh-CN" w:bidi="ar"/>
        </w:rPr>
        <w:t>　　十二、申请人应如实填写申请材料，并保证没有知识产权争议。凡存在弄虚作假、抄袭剽窃等行为的，一经发现查实，取消3年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5年内不得申报全国教育科学规划课题。凡在课题申报和评审中发现严重违规违纪行为的，除按规定进行处理外，均被列入不良科研信用记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color w:val="2D2D2D"/>
          <w:sz w:val="28"/>
          <w:szCs w:val="28"/>
        </w:rPr>
      </w:pPr>
      <w:r>
        <w:rPr>
          <w:rFonts w:hint="eastAsia" w:ascii="仿宋_GB2312" w:hAnsi="仿宋_GB2312" w:eastAsia="仿宋_GB2312" w:cs="仿宋_GB2312"/>
          <w:color w:val="2D2D2D"/>
          <w:kern w:val="0"/>
          <w:sz w:val="28"/>
          <w:szCs w:val="28"/>
          <w:lang w:val="en-US" w:eastAsia="zh-CN" w:bidi="ar"/>
        </w:rPr>
        <w:t>　　十三、课题实行同行专家通讯评审初评和专家会议集中复评方式。中小学和幼儿园申请人申报课题，以及西部地区的课题申请人申报课题，实行单列单评，并给予一定比例的立项数量倾斜。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color w:val="2D2D2D"/>
          <w:sz w:val="28"/>
          <w:szCs w:val="28"/>
        </w:rPr>
      </w:pPr>
      <w:r>
        <w:rPr>
          <w:rFonts w:hint="eastAsia" w:ascii="仿宋_GB2312" w:hAnsi="仿宋_GB2312" w:eastAsia="仿宋_GB2312" w:cs="仿宋_GB2312"/>
          <w:color w:val="2D2D2D"/>
          <w:kern w:val="0"/>
          <w:sz w:val="28"/>
          <w:szCs w:val="28"/>
          <w:lang w:val="en-US" w:eastAsia="zh-CN" w:bidi="ar"/>
        </w:rPr>
        <w:t>　　十四、课题负责人在项目执行期间要遵守相关承诺，履行约定义务，按期完成研究任务；获准立项的《全国教育科学规划课题申请书》视为具有约束力的资助合同文本。最终成果实行结题鉴定制度，鉴定等级予以公示。除特殊情况外，国家社科基金项目的最终研究成果须先鉴定、后出版，擅自出版者视为自行终止资助协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color w:val="2D2D2D"/>
          <w:sz w:val="28"/>
          <w:szCs w:val="28"/>
        </w:rPr>
      </w:pPr>
      <w:r>
        <w:rPr>
          <w:rFonts w:hint="eastAsia" w:ascii="仿宋_GB2312" w:hAnsi="仿宋_GB2312" w:eastAsia="仿宋_GB2312" w:cs="仿宋_GB2312"/>
          <w:color w:val="2D2D2D"/>
          <w:kern w:val="0"/>
          <w:sz w:val="28"/>
          <w:szCs w:val="28"/>
          <w:lang w:val="en-US" w:eastAsia="zh-CN" w:bidi="ar"/>
        </w:rPr>
        <w:t xml:space="preserve">    十五、全国教育科学规划课题申报采用三级审核管理制度。第一级为“申报者所在单位”（如学校、院系、科研院所等），第二级为“省部级管理部门”（含各省级教育规划办、教育部直属高校和直属单位），第三级为“全国教育科学规划领导小组办公室”（以下简称全规办）。各级管理机构要加强对课题申报工作的组织和指导，严格审核申报资格、前期研究成果的真实性、课题组的研究实力和必备条件等，签署明确意见。各级科研管理部门不得收取任何申报评审费用。全规办不直接受理个人申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color w:val="2D2D2D"/>
          <w:sz w:val="28"/>
          <w:szCs w:val="28"/>
        </w:rPr>
      </w:pPr>
      <w:r>
        <w:rPr>
          <w:rFonts w:hint="eastAsia" w:ascii="仿宋_GB2312" w:hAnsi="仿宋_GB2312" w:eastAsia="仿宋_GB2312" w:cs="仿宋_GB2312"/>
          <w:color w:val="2D2D2D"/>
          <w:kern w:val="0"/>
          <w:sz w:val="28"/>
          <w:szCs w:val="28"/>
          <w:lang w:val="en-US" w:eastAsia="zh-CN" w:bidi="ar"/>
        </w:rPr>
        <w:t>　　十六、项目申报材料从全规办网站（http://onsgep.moe.edu.cn）下载。申请书文本须经所在单位审查盖章后，报送至省部级管理部门，最后由省部级管理部门审核盖章后报全规办。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color w:val="2D2D2D"/>
          <w:sz w:val="28"/>
          <w:szCs w:val="28"/>
        </w:rPr>
      </w:pPr>
      <w:r>
        <w:rPr>
          <w:rFonts w:hint="eastAsia" w:ascii="仿宋_GB2312" w:hAnsi="仿宋_GB2312" w:eastAsia="仿宋_GB2312" w:cs="仿宋_GB2312"/>
          <w:color w:val="2D2D2D"/>
          <w:kern w:val="0"/>
          <w:sz w:val="28"/>
          <w:szCs w:val="28"/>
          <w:lang w:val="en-US" w:eastAsia="zh-CN" w:bidi="ar"/>
        </w:rPr>
        <w:t>　　十七、申请书文本要求统一用计算机填写、A3纸双面印制、中缝装订。报送全规办的纸质材料包括：（1）审查合格的国家重大和重点招标课题《投标书》一式6份（原件1份，复印件5份）；其他类别课题《申请书》一式2份（原件1份，复印件1份），活页5份。（2）加盖公章的用统一表格制作的申报数据汇总表。同时报送上述材料的电子版到指定邮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color w:val="2D2D2D"/>
          <w:sz w:val="28"/>
          <w:szCs w:val="28"/>
        </w:rPr>
      </w:pPr>
      <w:r>
        <w:rPr>
          <w:rFonts w:hint="eastAsia" w:ascii="仿宋_GB2312" w:hAnsi="仿宋_GB2312" w:eastAsia="仿宋_GB2312" w:cs="仿宋_GB2312"/>
          <w:color w:val="2D2D2D"/>
          <w:kern w:val="0"/>
          <w:sz w:val="28"/>
          <w:szCs w:val="28"/>
          <w:lang w:val="en-US" w:eastAsia="zh-CN" w:bidi="ar"/>
        </w:rPr>
        <w:t>　　十八、申报时间为2016年2月25日起至4月25日止，逾期不予受理。办公室咨询电话：010—62003471，62003307；电子邮箱：qgb@moe.edu.cn;邮政编码：100088；地址：北京市海淀区北三环中路46号全国教育科学规划领导小组办公室。</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Lucida Sans Unicode">
    <w:panose1 w:val="020B0602030504020204"/>
    <w:charset w:val="00"/>
    <w:family w:val="swiss"/>
    <w:pitch w:val="default"/>
    <w:sig w:usb0="80001AFF" w:usb1="0000396B" w:usb2="00000000" w:usb3="00000000" w:csb0="0000003F" w:csb1="D7F7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Lucida Sans Unicode">
    <w:panose1 w:val="020B0602030504020204"/>
    <w:charset w:val="00"/>
    <w:family w:val="swiss"/>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DB0E9A"/>
    <w:rsid w:val="00533286"/>
    <w:rsid w:val="27DB0E9A"/>
    <w:rsid w:val="57120F5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 w:type="character" w:styleId="4">
    <w:name w:val="FollowedHyperlink"/>
    <w:basedOn w:val="2"/>
    <w:uiPriority w:val="0"/>
    <w:rPr>
      <w:color w:val="2D2D2D"/>
      <w:u w:val="none"/>
    </w:rPr>
  </w:style>
  <w:style w:type="character" w:styleId="5">
    <w:name w:val="Hyperlink"/>
    <w:basedOn w:val="2"/>
    <w:qFormat/>
    <w:uiPriority w:val="0"/>
    <w:rPr>
      <w:color w:val="2D2D2D"/>
      <w:u w:val="none"/>
    </w:rPr>
  </w:style>
  <w:style w:type="character" w:customStyle="1" w:styleId="7">
    <w:name w:val="current"/>
    <w:basedOn w:val="2"/>
    <w:uiPriority w:val="0"/>
    <w:rPr>
      <w:b/>
      <w:color w:val="FFFFFF"/>
      <w:bdr w:val="single" w:color="000080" w:sz="6" w:space="0"/>
      <w:shd w:val="clear" w:fill="2E6AB1"/>
    </w:rPr>
  </w:style>
  <w:style w:type="character" w:customStyle="1" w:styleId="8">
    <w:name w:val="disabled"/>
    <w:basedOn w:val="2"/>
    <w:uiPriority w:val="0"/>
    <w:rPr>
      <w:color w:val="929292"/>
      <w:bdr w:val="single" w:color="929292" w:sz="6" w:space="0"/>
    </w:rPr>
  </w:style>
  <w:style w:type="character" w:customStyle="1" w:styleId="9">
    <w:name w:val="bsharetext"/>
    <w:basedOn w:val="2"/>
    <w:qFormat/>
    <w:uiPriority w:val="0"/>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2016-03-15T01:03:00Z</dcterms:created>
  <dc:creator>Administrator</dc:creator>
  <lastModifiedBy>Administrator</lastModifiedBy>
  <dcterms:modified xsi:type="dcterms:W3CDTF">2016-03-15T01:50:31Z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